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B95B" w14:textId="7FD53D01" w:rsidR="00E94044" w:rsidRPr="00E94044" w:rsidRDefault="00E94044" w:rsidP="00E940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E94044">
        <w:rPr>
          <w:rFonts w:ascii="Times New Roman" w:eastAsia="SimSun" w:hAnsi="Times New Roman" w:cs="Times New Roman"/>
          <w:b/>
          <w:noProof/>
          <w:sz w:val="24"/>
          <w:szCs w:val="20"/>
          <w:lang w:eastAsia="zh-CN"/>
        </w:rPr>
        <w:t>3GPP TSG-RAN2#12</w:t>
      </w:r>
      <w:r w:rsidR="00992A9A">
        <w:rPr>
          <w:rFonts w:ascii="Times New Roman" w:eastAsia="SimSun" w:hAnsi="Times New Roman" w:cs="Times New Roman"/>
          <w:b/>
          <w:noProof/>
          <w:sz w:val="24"/>
          <w:szCs w:val="20"/>
          <w:lang w:eastAsia="zh-CN"/>
        </w:rPr>
        <w:t>2</w:t>
      </w:r>
      <w:r w:rsidRPr="00E94044">
        <w:rPr>
          <w:rFonts w:ascii="Times New Roman" w:eastAsia="SimSun" w:hAnsi="Times New Roman" w:cs="Times New Roman"/>
          <w:b/>
          <w:noProof/>
          <w:sz w:val="24"/>
          <w:szCs w:val="20"/>
          <w:lang w:eastAsia="zh-CN"/>
        </w:rPr>
        <w:tab/>
        <w:t>R2-</w:t>
      </w:r>
      <w:r w:rsidR="00642B89" w:rsidRPr="00642B89">
        <w:rPr>
          <w:rFonts w:ascii="Times New Roman" w:eastAsia="SimSun" w:hAnsi="Times New Roman" w:cs="Times New Roman"/>
          <w:b/>
          <w:noProof/>
          <w:sz w:val="24"/>
          <w:szCs w:val="20"/>
          <w:lang w:eastAsia="zh-CN"/>
        </w:rPr>
        <w:t>230</w:t>
      </w:r>
      <w:r w:rsidR="00DA7808">
        <w:rPr>
          <w:rFonts w:ascii="Times New Roman" w:eastAsia="SimSun" w:hAnsi="Times New Roman" w:cs="Times New Roman"/>
          <w:b/>
          <w:noProof/>
          <w:sz w:val="24"/>
          <w:szCs w:val="20"/>
          <w:lang w:eastAsia="zh-CN"/>
        </w:rPr>
        <w:t>5943</w:t>
      </w:r>
    </w:p>
    <w:p w14:paraId="6D7FEBCE" w14:textId="6DA5E76A" w:rsidR="00960B44" w:rsidRPr="007022BC" w:rsidRDefault="001A12DE" w:rsidP="00E940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Pr>
          <w:rFonts w:ascii="Times New Roman" w:eastAsia="SimSun" w:hAnsi="Times New Roman"/>
          <w:b/>
          <w:noProof/>
          <w:sz w:val="24"/>
          <w:szCs w:val="20"/>
          <w:lang w:eastAsia="zh-CN"/>
        </w:rPr>
        <w:t xml:space="preserve">Incheon, Korea, May 22-26, </w:t>
      </w:r>
      <w:r w:rsidR="00E94044" w:rsidRPr="00E94044">
        <w:rPr>
          <w:rFonts w:ascii="Times New Roman" w:eastAsia="SimSun" w:hAnsi="Times New Roman" w:cs="Times New Roman"/>
          <w:b/>
          <w:noProof/>
          <w:sz w:val="24"/>
          <w:szCs w:val="20"/>
          <w:lang w:eastAsia="zh-CN"/>
        </w:rPr>
        <w:t>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1CCABDC4"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E94044">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.4.2.</w:t>
      </w:r>
      <w:r w:rsidR="00E377FE">
        <w:rPr>
          <w:rFonts w:ascii="Times New Roman" w:eastAsia="SimSun" w:hAnsi="Times New Roman" w:cs="Times New Roman"/>
          <w:b/>
          <w:bCs/>
          <w:kern w:val="2"/>
          <w:sz w:val="24"/>
          <w:lang w:eastAsia="zh-CN"/>
        </w:rPr>
        <w:t>3</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705A454F"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F1B33" w:rsidRPr="007F1B33">
        <w:rPr>
          <w:rFonts w:ascii="Times New Roman" w:eastAsia="SimSun" w:hAnsi="Times New Roman" w:cs="Times New Roman"/>
          <w:b/>
          <w:bCs/>
          <w:kern w:val="2"/>
          <w:sz w:val="24"/>
          <w:lang w:eastAsia="zh-CN"/>
        </w:rPr>
        <w:t>Cell Switch</w:t>
      </w:r>
      <w:r w:rsidR="007F1B33">
        <w:rPr>
          <w:rFonts w:ascii="Times New Roman" w:eastAsia="SimSun" w:hAnsi="Times New Roman" w:cs="Times New Roman"/>
          <w:b/>
          <w:bCs/>
          <w:kern w:val="2"/>
          <w:sz w:val="24"/>
          <w:lang w:eastAsia="zh-CN"/>
        </w:rPr>
        <w:t xml:space="preserve"> details</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7C66E589" w14:textId="60747321" w:rsidR="0084005A" w:rsidRPr="001E50D4" w:rsidRDefault="009E046D" w:rsidP="00F31E3E">
      <w:pPr>
        <w:rPr>
          <w:rFonts w:ascii="Garamond" w:hAnsi="Garamond"/>
          <w:sz w:val="20"/>
          <w:szCs w:val="20"/>
        </w:rPr>
      </w:pPr>
      <w:bookmarkStart w:id="2" w:name="Proposal_Beacon"/>
      <w:r>
        <w:rPr>
          <w:rFonts w:ascii="Garamond" w:hAnsi="Garamond"/>
          <w:sz w:val="20"/>
          <w:szCs w:val="20"/>
        </w:rPr>
        <w:t>LTM based Cell Switch procedure requires e</w:t>
      </w:r>
      <w:r w:rsidR="0084005A" w:rsidRPr="001E50D4">
        <w:rPr>
          <w:rFonts w:ascii="Garamond" w:hAnsi="Garamond"/>
          <w:sz w:val="20"/>
          <w:szCs w:val="20"/>
        </w:rPr>
        <w:t xml:space="preserve">arly TA acquisition </w:t>
      </w:r>
      <w:r>
        <w:rPr>
          <w:rFonts w:ascii="Garamond" w:hAnsi="Garamond"/>
          <w:sz w:val="20"/>
          <w:szCs w:val="20"/>
        </w:rPr>
        <w:t>as well as new MAC CE based mobility procedure</w:t>
      </w:r>
      <w:r w:rsidR="0084005A" w:rsidRPr="001E50D4">
        <w:rPr>
          <w:rFonts w:ascii="Garamond" w:hAnsi="Garamond"/>
          <w:sz w:val="20"/>
          <w:szCs w:val="20"/>
        </w:rPr>
        <w:t xml:space="preserve">. This paper goes in the details of </w:t>
      </w:r>
      <w:r>
        <w:rPr>
          <w:rFonts w:ascii="Garamond" w:hAnsi="Garamond"/>
          <w:sz w:val="20"/>
          <w:szCs w:val="20"/>
        </w:rPr>
        <w:t xml:space="preserve">cell switch </w:t>
      </w:r>
      <w:r w:rsidR="00E1255F" w:rsidRPr="001E50D4">
        <w:rPr>
          <w:rFonts w:ascii="Garamond" w:hAnsi="Garamond"/>
          <w:sz w:val="20"/>
          <w:szCs w:val="20"/>
        </w:rPr>
        <w:t>procedure</w:t>
      </w:r>
      <w:r w:rsidR="0084005A" w:rsidRPr="001E50D4">
        <w:rPr>
          <w:rFonts w:ascii="Garamond" w:hAnsi="Garamond"/>
          <w:sz w:val="20"/>
          <w:szCs w:val="20"/>
        </w:rPr>
        <w:t xml:space="preserve"> and builds on </w:t>
      </w:r>
      <w:r w:rsidR="00F31E3E" w:rsidRPr="001E50D4">
        <w:rPr>
          <w:rFonts w:ascii="Garamond" w:hAnsi="Garamond"/>
          <w:sz w:val="20"/>
          <w:szCs w:val="20"/>
        </w:rPr>
        <w:t xml:space="preserve">RAN2 progress </w:t>
      </w:r>
      <w:r w:rsidR="0084005A" w:rsidRPr="001E50D4">
        <w:rPr>
          <w:rFonts w:ascii="Garamond" w:hAnsi="Garamond"/>
          <w:sz w:val="20"/>
          <w:szCs w:val="20"/>
        </w:rPr>
        <w:t>from the last meeting</w:t>
      </w:r>
      <w:r w:rsidR="00D82A59" w:rsidRPr="001E50D4">
        <w:rPr>
          <w:rFonts w:ascii="Garamond" w:hAnsi="Garamond"/>
          <w:sz w:val="20"/>
          <w:szCs w:val="20"/>
        </w:rPr>
        <w:t>s</w:t>
      </w:r>
      <w:r w:rsidR="00F31E3E" w:rsidRPr="001E50D4">
        <w:rPr>
          <w:rFonts w:ascii="Garamond" w:hAnsi="Garamond"/>
          <w:sz w:val="20"/>
          <w:szCs w:val="20"/>
        </w:rPr>
        <w:t xml:space="preserve">. </w:t>
      </w:r>
    </w:p>
    <w:p w14:paraId="79D9C5AD" w14:textId="1402679F" w:rsidR="00E21C56" w:rsidRPr="000A5B84" w:rsidRDefault="00E21C56" w:rsidP="00E21C56">
      <w:pPr>
        <w:rPr>
          <w:rFonts w:ascii="Garamond" w:hAnsi="Garamond"/>
          <w:sz w:val="20"/>
          <w:szCs w:val="20"/>
        </w:rPr>
      </w:pPr>
      <w:r w:rsidRPr="001E50D4">
        <w:rPr>
          <w:rFonts w:ascii="Garamond" w:hAnsi="Garamond"/>
          <w:sz w:val="20"/>
          <w:szCs w:val="20"/>
        </w:rPr>
        <w:t>Following agreements were reached in RAN2#12</w:t>
      </w:r>
      <w:r w:rsidR="000A5B84">
        <w:rPr>
          <w:rFonts w:ascii="Garamond" w:hAnsi="Garamond"/>
          <w:sz w:val="20"/>
          <w:szCs w:val="20"/>
        </w:rPr>
        <w:t>1bis</w:t>
      </w:r>
      <w:r w:rsidRPr="001E50D4">
        <w:rPr>
          <w:rFonts w:ascii="Garamond" w:hAnsi="Garamond"/>
          <w:sz w:val="20"/>
          <w:szCs w:val="20"/>
        </w:rPr>
        <w:t>:</w:t>
      </w:r>
    </w:p>
    <w:tbl>
      <w:tblPr>
        <w:tblStyle w:val="TableGrid"/>
        <w:tblW w:w="0" w:type="auto"/>
        <w:tblLook w:val="04A0" w:firstRow="1" w:lastRow="0" w:firstColumn="1" w:lastColumn="0" w:noHBand="0" w:noVBand="1"/>
      </w:tblPr>
      <w:tblGrid>
        <w:gridCol w:w="9350"/>
      </w:tblGrid>
      <w:tr w:rsidR="00E21C56" w:rsidRPr="001E50D4" w14:paraId="09A9C52D" w14:textId="77777777" w:rsidTr="005E1268">
        <w:tc>
          <w:tcPr>
            <w:tcW w:w="9350" w:type="dxa"/>
          </w:tcPr>
          <w:p w14:paraId="2D7AFE63" w14:textId="77777777" w:rsidR="000A5B84" w:rsidRPr="000A5B84" w:rsidRDefault="000A5B84" w:rsidP="000A5B84">
            <w:pPr>
              <w:pStyle w:val="Agreement"/>
              <w:tabs>
                <w:tab w:val="clear" w:pos="-718"/>
                <w:tab w:val="num" w:pos="1619"/>
              </w:tabs>
              <w:ind w:left="360"/>
              <w:rPr>
                <w:b w:val="0"/>
                <w:bCs/>
                <w:i/>
                <w:iCs/>
                <w:sz w:val="18"/>
                <w:szCs w:val="22"/>
                <w:lang w:eastAsia="en-US"/>
              </w:rPr>
            </w:pPr>
            <w:r w:rsidRPr="000A5B84">
              <w:rPr>
                <w:b w:val="0"/>
                <w:bCs/>
                <w:i/>
                <w:iCs/>
                <w:sz w:val="18"/>
                <w:szCs w:val="22"/>
                <w:lang w:eastAsia="en-US"/>
              </w:rPr>
              <w:t xml:space="preserve">From RAN2 perspective, to enable shared preamble resource among multiple UEs, it is beneficial that the information that identifies the allocated CFRA resource (i.e., SS/PBCH index, RACH occasion, and </w:t>
            </w:r>
            <w:proofErr w:type="gramStart"/>
            <w:r w:rsidRPr="000A5B84">
              <w:rPr>
                <w:b w:val="0"/>
                <w:bCs/>
                <w:i/>
                <w:iCs/>
                <w:sz w:val="18"/>
                <w:szCs w:val="22"/>
                <w:lang w:eastAsia="en-US"/>
              </w:rPr>
              <w:t>Random Access</w:t>
            </w:r>
            <w:proofErr w:type="gramEnd"/>
            <w:r w:rsidRPr="000A5B84">
              <w:rPr>
                <w:b w:val="0"/>
                <w:bCs/>
                <w:i/>
                <w:iCs/>
                <w:sz w:val="18"/>
                <w:szCs w:val="22"/>
                <w:lang w:eastAsia="en-US"/>
              </w:rPr>
              <w:t xml:space="preserve"> Preamble index) can be indicated in the PDCCH order (as legacy intra-cell PDCCH order). </w:t>
            </w:r>
          </w:p>
          <w:p w14:paraId="627DF1C2"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RRC RACH configuration for early TA acquisition (e.g., including whether RAR needs to be received) is specific per target cell and is signalled separately (separate IEs) from the candidate cell configuration (the part that need to be applied at cell switch).</w:t>
            </w:r>
          </w:p>
          <w:p w14:paraId="14B0787F"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R2 assumes that Early TA RACH option 3 (with RAR from candidate cell) is not needed in Rel-18.</w:t>
            </w:r>
          </w:p>
          <w:p w14:paraId="580DBDB7" w14:textId="77777777" w:rsidR="000A5B84" w:rsidRPr="000A5B84" w:rsidRDefault="000A5B84" w:rsidP="000A5B84">
            <w:pPr>
              <w:pStyle w:val="Agreement"/>
              <w:tabs>
                <w:tab w:val="clear" w:pos="-718"/>
                <w:tab w:val="num" w:pos="1619"/>
              </w:tabs>
              <w:ind w:left="360"/>
              <w:rPr>
                <w:rFonts w:eastAsiaTheme="minorEastAsia"/>
                <w:b w:val="0"/>
                <w:bCs/>
                <w:i/>
                <w:iCs/>
                <w:sz w:val="18"/>
                <w:szCs w:val="20"/>
              </w:rPr>
            </w:pPr>
            <w:r w:rsidRPr="000A5B84">
              <w:rPr>
                <w:b w:val="0"/>
                <w:bCs/>
                <w:i/>
                <w:iCs/>
                <w:sz w:val="18"/>
                <w:szCs w:val="22"/>
              </w:rPr>
              <w:t>R2 assumes RRCReconfigurationComplete message is always sent at each LTM execution.</w:t>
            </w:r>
          </w:p>
          <w:p w14:paraId="2233FF0E"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 xml:space="preserve">In RACH-based LTM, the target cell is aware of the UE’s arrival based on the reception of preamble in CFRA and on the reception of Msg3/MsgA in CBRA, like the legacy HO. </w:t>
            </w:r>
          </w:p>
          <w:p w14:paraId="3FCC934E"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In RACH-less LTM, the target cell is aware of the UE’s arrival based on reception of the first UL transmission from this UE</w:t>
            </w:r>
          </w:p>
          <w:p w14:paraId="263BDB4C"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 xml:space="preserve">In RACH-less LTM, RRCReconfigurationComplete can be the content of the first UL MAC PDU/transmission to indicate UE arrival, </w:t>
            </w:r>
            <w:proofErr w:type="gramStart"/>
            <w:r w:rsidRPr="000A5B84">
              <w:rPr>
                <w:b w:val="0"/>
                <w:bCs/>
                <w:i/>
                <w:iCs/>
                <w:sz w:val="18"/>
                <w:szCs w:val="22"/>
              </w:rPr>
              <w:t>i.e.</w:t>
            </w:r>
            <w:proofErr w:type="gramEnd"/>
            <w:r w:rsidRPr="000A5B84">
              <w:rPr>
                <w:b w:val="0"/>
                <w:bCs/>
                <w:i/>
                <w:iCs/>
                <w:sz w:val="18"/>
                <w:szCs w:val="22"/>
              </w:rPr>
              <w:t xml:space="preserve"> no need to introduce any new signaling to indicate UE arrival (for the MCG-switch case)</w:t>
            </w:r>
          </w:p>
          <w:p w14:paraId="6158C2C8"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For RACH-based LTM, the UE considers that LTM execution procedure is successfully completed when the RACH is successfully completed.</w:t>
            </w:r>
          </w:p>
          <w:p w14:paraId="25355A22"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For RACH-less LTM, the UE considers that LTM execution procedure is successfully complete when the UE determines the NW has successfully received its first UL data.</w:t>
            </w:r>
          </w:p>
          <w:p w14:paraId="0ACF9E46"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 xml:space="preserve">Following behaviors of LTM supervisor timer are agreed: </w:t>
            </w:r>
          </w:p>
          <w:p w14:paraId="59F7A7B0" w14:textId="77777777" w:rsidR="000A5B84" w:rsidRPr="000A5B84" w:rsidRDefault="000A5B84" w:rsidP="000A5B84">
            <w:pPr>
              <w:pStyle w:val="Agreement"/>
              <w:numPr>
                <w:ilvl w:val="0"/>
                <w:numId w:val="0"/>
              </w:numPr>
              <w:ind w:left="360"/>
              <w:rPr>
                <w:b w:val="0"/>
                <w:bCs/>
                <w:i/>
                <w:iCs/>
                <w:sz w:val="18"/>
                <w:szCs w:val="22"/>
              </w:rPr>
            </w:pPr>
            <w:r w:rsidRPr="000A5B84">
              <w:rPr>
                <w:b w:val="0"/>
                <w:bCs/>
                <w:i/>
                <w:iCs/>
                <w:sz w:val="18"/>
                <w:szCs w:val="22"/>
              </w:rPr>
              <w:t xml:space="preserve">- 1: The UE starts the LTM supervisor timer, upon reception of the LTM cell switch MAC </w:t>
            </w:r>
            <w:proofErr w:type="gramStart"/>
            <w:r w:rsidRPr="000A5B84">
              <w:rPr>
                <w:b w:val="0"/>
                <w:bCs/>
                <w:i/>
                <w:iCs/>
                <w:sz w:val="18"/>
                <w:szCs w:val="22"/>
              </w:rPr>
              <w:t>CE;</w:t>
            </w:r>
            <w:proofErr w:type="gramEnd"/>
          </w:p>
          <w:p w14:paraId="0CE8F6FD" w14:textId="77777777" w:rsidR="000A5B84" w:rsidRPr="000A5B84" w:rsidRDefault="000A5B84" w:rsidP="000A5B84">
            <w:pPr>
              <w:pStyle w:val="Agreement"/>
              <w:numPr>
                <w:ilvl w:val="0"/>
                <w:numId w:val="0"/>
              </w:numPr>
              <w:ind w:left="360"/>
              <w:rPr>
                <w:b w:val="0"/>
                <w:bCs/>
                <w:i/>
                <w:iCs/>
                <w:sz w:val="18"/>
                <w:szCs w:val="22"/>
              </w:rPr>
            </w:pPr>
            <w:r w:rsidRPr="000A5B84">
              <w:rPr>
                <w:b w:val="0"/>
                <w:bCs/>
                <w:i/>
                <w:iCs/>
                <w:sz w:val="18"/>
                <w:szCs w:val="22"/>
              </w:rPr>
              <w:t xml:space="preserve">- 2: The UE stops the LTM supervisor timer, upon successful completion of LTM cell </w:t>
            </w:r>
            <w:proofErr w:type="gramStart"/>
            <w:r w:rsidRPr="000A5B84">
              <w:rPr>
                <w:b w:val="0"/>
                <w:bCs/>
                <w:i/>
                <w:iCs/>
                <w:sz w:val="18"/>
                <w:szCs w:val="22"/>
              </w:rPr>
              <w:t>switch;</w:t>
            </w:r>
            <w:proofErr w:type="gramEnd"/>
          </w:p>
          <w:p w14:paraId="6057F889" w14:textId="77777777" w:rsidR="000A5B84" w:rsidRPr="000A5B84" w:rsidRDefault="000A5B84" w:rsidP="000A5B84">
            <w:pPr>
              <w:pStyle w:val="Agreement"/>
              <w:numPr>
                <w:ilvl w:val="0"/>
                <w:numId w:val="0"/>
              </w:numPr>
              <w:ind w:left="360"/>
              <w:rPr>
                <w:b w:val="0"/>
                <w:bCs/>
                <w:i/>
                <w:iCs/>
                <w:sz w:val="18"/>
                <w:szCs w:val="22"/>
              </w:rPr>
            </w:pPr>
            <w:r w:rsidRPr="000A5B84">
              <w:rPr>
                <w:b w:val="0"/>
                <w:bCs/>
                <w:i/>
                <w:iCs/>
                <w:sz w:val="18"/>
                <w:szCs w:val="22"/>
              </w:rPr>
              <w:t>- 3: If the LTM supervisor timer for MCG expires, as baseline, the UE considers LTM failure and initiates RRC re-establishment. (SCG switch case FFS)</w:t>
            </w:r>
          </w:p>
          <w:p w14:paraId="29E69B8E" w14:textId="77777777" w:rsidR="000A5B84" w:rsidRPr="000A5B84" w:rsidRDefault="000A5B84" w:rsidP="000A5B84">
            <w:pPr>
              <w:pStyle w:val="Agreement"/>
              <w:tabs>
                <w:tab w:val="clear" w:pos="-718"/>
                <w:tab w:val="num" w:pos="1619"/>
              </w:tabs>
              <w:ind w:left="360"/>
              <w:rPr>
                <w:b w:val="0"/>
                <w:bCs/>
                <w:i/>
                <w:iCs/>
                <w:sz w:val="18"/>
                <w:szCs w:val="20"/>
              </w:rPr>
            </w:pPr>
            <w:r w:rsidRPr="000A5B84">
              <w:rPr>
                <w:b w:val="0"/>
                <w:bCs/>
                <w:i/>
                <w:iCs/>
                <w:sz w:val="18"/>
                <w:szCs w:val="22"/>
              </w:rPr>
              <w:t>LTM supervisor timer is RRC layer timer.</w:t>
            </w:r>
          </w:p>
          <w:p w14:paraId="0EEA4CC3" w14:textId="77777777" w:rsidR="000A5B84" w:rsidRPr="000A5B84" w:rsidRDefault="000A5B84" w:rsidP="000A5B84">
            <w:pPr>
              <w:pStyle w:val="Agreement"/>
              <w:tabs>
                <w:tab w:val="clear" w:pos="-718"/>
                <w:tab w:val="num" w:pos="1619"/>
              </w:tabs>
              <w:ind w:left="360"/>
              <w:rPr>
                <w:b w:val="0"/>
                <w:bCs/>
                <w:i/>
                <w:iCs/>
                <w:sz w:val="18"/>
                <w:szCs w:val="22"/>
              </w:rPr>
            </w:pPr>
            <w:r w:rsidRPr="000A5B84">
              <w:rPr>
                <w:b w:val="0"/>
                <w:bCs/>
                <w:i/>
                <w:iCs/>
                <w:sz w:val="18"/>
                <w:szCs w:val="22"/>
              </w:rPr>
              <w:t>At RLF or LTM execution failure (for MCG), RAN2 intend to support fast recovery to a candidate cell by LTM execution.</w:t>
            </w:r>
          </w:p>
          <w:p w14:paraId="246D2178" w14:textId="4B139EF3" w:rsidR="00E21C56" w:rsidRPr="001E50D4" w:rsidRDefault="000A5B84" w:rsidP="000A5B84">
            <w:pPr>
              <w:pStyle w:val="Agreement"/>
              <w:tabs>
                <w:tab w:val="clear" w:pos="-718"/>
                <w:tab w:val="num" w:pos="1619"/>
              </w:tabs>
              <w:ind w:left="360"/>
            </w:pPr>
            <w:r w:rsidRPr="000A5B84">
              <w:rPr>
                <w:b w:val="0"/>
                <w:bCs/>
                <w:i/>
                <w:iCs/>
                <w:sz w:val="18"/>
                <w:szCs w:val="22"/>
              </w:rP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sidRPr="000A5B84">
              <w:rPr>
                <w:b w:val="0"/>
                <w:bCs/>
                <w:i/>
                <w:iCs/>
                <w:sz w:val="18"/>
                <w:szCs w:val="22"/>
              </w:rPr>
              <w:t>e.g.</w:t>
            </w:r>
            <w:proofErr w:type="gramEnd"/>
            <w:r w:rsidRPr="000A5B84">
              <w:rPr>
                <w:b w:val="0"/>
                <w:bCs/>
                <w:i/>
                <w:iCs/>
                <w:sz w:val="18"/>
                <w:szCs w:val="22"/>
              </w:rPr>
              <w:t xml:space="preserve"> L3 HO cmd), e.g. avoid sending LTM switch cmd and L3 HO cmd in the same TB.</w:t>
            </w:r>
          </w:p>
        </w:tc>
      </w:tr>
    </w:tbl>
    <w:p w14:paraId="20527C71" w14:textId="41EC6A23" w:rsidR="00F31E3E" w:rsidRPr="001E50D4" w:rsidRDefault="00F31E3E" w:rsidP="00F31E3E">
      <w:pPr>
        <w:rPr>
          <w:rFonts w:ascii="Garamond" w:hAnsi="Garamond"/>
          <w:sz w:val="20"/>
          <w:szCs w:val="20"/>
        </w:rPr>
      </w:pPr>
    </w:p>
    <w:bookmarkEnd w:id="2"/>
    <w:p w14:paraId="5FA0C98E" w14:textId="01477572" w:rsidR="000E6A78" w:rsidRDefault="009E298B"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E298B">
        <w:rPr>
          <w:rFonts w:ascii="Times New Roman" w:eastAsia="SimSun" w:hAnsi="Times New Roman" w:cs="Times New Roman"/>
          <w:b/>
          <w:sz w:val="32"/>
          <w:szCs w:val="32"/>
          <w:lang w:val="en-GB" w:eastAsia="zh-CN"/>
        </w:rPr>
        <w:lastRenderedPageBreak/>
        <w:t>Preparation for Cell Switching</w:t>
      </w:r>
    </w:p>
    <w:p w14:paraId="2A72E9AB" w14:textId="081F4D75" w:rsidR="004B3DDB" w:rsidRPr="004B3DDB" w:rsidRDefault="004B3DDB" w:rsidP="004B3DDB">
      <w:pPr>
        <w:rPr>
          <w:rFonts w:ascii="Garamond" w:hAnsi="Garamond"/>
          <w:sz w:val="20"/>
          <w:szCs w:val="20"/>
        </w:rPr>
      </w:pPr>
      <w:r>
        <w:rPr>
          <w:rFonts w:ascii="Garamond" w:hAnsi="Garamond"/>
          <w:sz w:val="20"/>
          <w:szCs w:val="20"/>
        </w:rPr>
        <w:t xml:space="preserve">Both RAN1 and RAN2 have been discussing Early TA acquisition topic for a while. Once Early TA is acquired </w:t>
      </w:r>
      <w:r w:rsidRPr="004B3DDB">
        <w:rPr>
          <w:rFonts w:ascii="Garamond" w:hAnsi="Garamond"/>
          <w:sz w:val="20"/>
          <w:szCs w:val="20"/>
        </w:rPr>
        <w:t xml:space="preserve">following two procedures </w:t>
      </w:r>
      <w:r>
        <w:rPr>
          <w:rFonts w:ascii="Garamond" w:hAnsi="Garamond"/>
          <w:sz w:val="20"/>
          <w:szCs w:val="20"/>
        </w:rPr>
        <w:t xml:space="preserve">can </w:t>
      </w:r>
      <w:r w:rsidRPr="004B3DDB">
        <w:rPr>
          <w:rFonts w:ascii="Garamond" w:hAnsi="Garamond"/>
          <w:sz w:val="20"/>
          <w:szCs w:val="20"/>
        </w:rPr>
        <w:t>be used</w:t>
      </w:r>
      <w:r>
        <w:rPr>
          <w:rFonts w:ascii="Garamond" w:hAnsi="Garamond"/>
          <w:sz w:val="20"/>
          <w:szCs w:val="20"/>
        </w:rPr>
        <w:t xml:space="preserve"> to inform UE of the TA value corresponding to a candidate cell</w:t>
      </w:r>
      <w:r w:rsidRPr="004B3DDB">
        <w:rPr>
          <w:rFonts w:ascii="Garamond" w:hAnsi="Garamond"/>
          <w:sz w:val="20"/>
          <w:szCs w:val="20"/>
        </w:rPr>
        <w:t>:</w:t>
      </w:r>
    </w:p>
    <w:p w14:paraId="780A3138" w14:textId="3A0F24F5" w:rsidR="004B3DDB" w:rsidRPr="004B3DDB" w:rsidRDefault="004B3DDB" w:rsidP="004B3DDB">
      <w:pPr>
        <w:pStyle w:val="ListParagraph"/>
        <w:numPr>
          <w:ilvl w:val="0"/>
          <w:numId w:val="21"/>
        </w:numPr>
        <w:rPr>
          <w:rFonts w:ascii="Garamond" w:hAnsi="Garamond"/>
        </w:rPr>
      </w:pPr>
      <w:r w:rsidRPr="004B3DDB">
        <w:rPr>
          <w:rFonts w:ascii="Garamond" w:hAnsi="Garamond"/>
        </w:rPr>
        <w:t>MAC RAR with Early TA is sent by the source cell (DU) to the UE</w:t>
      </w:r>
    </w:p>
    <w:p w14:paraId="2EA79D51" w14:textId="2B5BB3B7" w:rsidR="004B3DDB" w:rsidRPr="004B3DDB" w:rsidRDefault="004B3DDB" w:rsidP="004B3DDB">
      <w:pPr>
        <w:pStyle w:val="ListParagraph"/>
        <w:numPr>
          <w:ilvl w:val="0"/>
          <w:numId w:val="21"/>
        </w:numPr>
        <w:rPr>
          <w:rFonts w:ascii="Garamond" w:hAnsi="Garamond"/>
        </w:rPr>
      </w:pPr>
      <w:r w:rsidRPr="004B3DDB">
        <w:rPr>
          <w:rFonts w:ascii="Garamond" w:hAnsi="Garamond"/>
        </w:rPr>
        <w:t>Early TA is sent by the source cell (DU) to the UE included in the LTM i.e., no MAC RAR case.</w:t>
      </w:r>
    </w:p>
    <w:p w14:paraId="409CE72B" w14:textId="52100969" w:rsidR="00A14128" w:rsidRDefault="004B3DDB" w:rsidP="004B3DDB">
      <w:pPr>
        <w:rPr>
          <w:rFonts w:ascii="Garamond" w:hAnsi="Garamond"/>
          <w:sz w:val="20"/>
          <w:szCs w:val="20"/>
        </w:rPr>
      </w:pPr>
      <w:r>
        <w:rPr>
          <w:rFonts w:ascii="Garamond" w:hAnsi="Garamond"/>
          <w:sz w:val="20"/>
          <w:szCs w:val="20"/>
        </w:rPr>
        <w:t>Apart from these two</w:t>
      </w:r>
      <w:r w:rsidRPr="004B3DDB">
        <w:rPr>
          <w:rFonts w:ascii="Garamond" w:hAnsi="Garamond"/>
          <w:sz w:val="20"/>
          <w:szCs w:val="20"/>
        </w:rPr>
        <w:t xml:space="preserve"> there’s a third </w:t>
      </w:r>
      <w:r>
        <w:rPr>
          <w:rFonts w:ascii="Garamond" w:hAnsi="Garamond"/>
          <w:sz w:val="20"/>
          <w:szCs w:val="20"/>
        </w:rPr>
        <w:t xml:space="preserve">possibility </w:t>
      </w:r>
      <w:r w:rsidRPr="004B3DDB">
        <w:rPr>
          <w:rFonts w:ascii="Garamond" w:hAnsi="Garamond"/>
          <w:sz w:val="20"/>
          <w:szCs w:val="20"/>
        </w:rPr>
        <w:t>where RAN2 first needs to agree if the acquired Early TA should be kept (or not) after a successful mobility.</w:t>
      </w:r>
      <w:r w:rsidR="00A14128">
        <w:rPr>
          <w:rFonts w:ascii="Garamond" w:hAnsi="Garamond"/>
          <w:sz w:val="20"/>
          <w:szCs w:val="20"/>
        </w:rPr>
        <w:t xml:space="preserve"> On </w:t>
      </w:r>
      <w:r w:rsidR="00A14128" w:rsidRPr="00A14128">
        <w:rPr>
          <w:rFonts w:ascii="Garamond" w:hAnsi="Garamond"/>
          <w:sz w:val="20"/>
          <w:szCs w:val="20"/>
        </w:rPr>
        <w:t>“</w:t>
      </w:r>
      <w:r w:rsidR="00A14128" w:rsidRPr="00A14128">
        <w:rPr>
          <w:rFonts w:ascii="Garamond" w:hAnsi="Garamond"/>
          <w:b/>
          <w:bCs/>
          <w:sz w:val="20"/>
          <w:szCs w:val="20"/>
        </w:rPr>
        <w:t xml:space="preserve">keeping </w:t>
      </w:r>
      <w:r w:rsidR="00244748">
        <w:rPr>
          <w:rFonts w:ascii="Garamond" w:hAnsi="Garamond"/>
          <w:b/>
          <w:bCs/>
          <w:sz w:val="20"/>
          <w:szCs w:val="20"/>
        </w:rPr>
        <w:t xml:space="preserve">or saving </w:t>
      </w:r>
      <w:r w:rsidR="00A14128" w:rsidRPr="00A14128">
        <w:rPr>
          <w:rFonts w:ascii="Garamond" w:hAnsi="Garamond"/>
          <w:b/>
          <w:bCs/>
          <w:sz w:val="20"/>
          <w:szCs w:val="20"/>
        </w:rPr>
        <w:t>Early TA</w:t>
      </w:r>
      <w:r w:rsidR="00244748">
        <w:rPr>
          <w:rFonts w:ascii="Garamond" w:hAnsi="Garamond"/>
          <w:b/>
          <w:bCs/>
          <w:sz w:val="20"/>
          <w:szCs w:val="20"/>
        </w:rPr>
        <w:t xml:space="preserve"> value for candidate cell(s)</w:t>
      </w:r>
      <w:r w:rsidR="00A14128" w:rsidRPr="00A14128">
        <w:rPr>
          <w:rFonts w:ascii="Garamond" w:hAnsi="Garamond"/>
          <w:b/>
          <w:bCs/>
          <w:sz w:val="20"/>
          <w:szCs w:val="20"/>
        </w:rPr>
        <w:t>” may be considered</w:t>
      </w:r>
      <w:r w:rsidR="00A14128" w:rsidRPr="00A14128">
        <w:rPr>
          <w:rFonts w:ascii="Garamond" w:hAnsi="Garamond"/>
          <w:sz w:val="20"/>
          <w:szCs w:val="20"/>
        </w:rPr>
        <w:t xml:space="preserve"> a valid optimization </w:t>
      </w:r>
      <w:r w:rsidR="00A14128" w:rsidRPr="00A14128">
        <w:rPr>
          <w:rFonts w:ascii="Garamond" w:hAnsi="Garamond"/>
          <w:b/>
          <w:bCs/>
          <w:sz w:val="20"/>
          <w:szCs w:val="20"/>
        </w:rPr>
        <w:t xml:space="preserve">as </w:t>
      </w:r>
      <w:r w:rsidR="00244748">
        <w:rPr>
          <w:rFonts w:ascii="Garamond" w:hAnsi="Garamond"/>
          <w:b/>
          <w:bCs/>
          <w:sz w:val="20"/>
          <w:szCs w:val="20"/>
        </w:rPr>
        <w:t xml:space="preserve">based on ASN.1 </w:t>
      </w:r>
      <w:r w:rsidR="00A14128" w:rsidRPr="00A14128">
        <w:rPr>
          <w:rFonts w:ascii="Garamond" w:hAnsi="Garamond"/>
          <w:b/>
          <w:bCs/>
          <w:sz w:val="20"/>
          <w:szCs w:val="20"/>
        </w:rPr>
        <w:t>the TAT can be configured up to 10 sec. long</w:t>
      </w:r>
      <w:r w:rsidR="00A14128" w:rsidRPr="00A14128">
        <w:rPr>
          <w:rFonts w:ascii="Garamond" w:hAnsi="Garamond"/>
          <w:sz w:val="20"/>
          <w:szCs w:val="20"/>
        </w:rPr>
        <w:t xml:space="preserve">. </w:t>
      </w:r>
      <w:r w:rsidR="00A14128">
        <w:rPr>
          <w:rFonts w:ascii="Garamond" w:hAnsi="Garamond"/>
          <w:sz w:val="20"/>
          <w:szCs w:val="20"/>
        </w:rPr>
        <w:t xml:space="preserve">On </w:t>
      </w:r>
      <w:r w:rsidR="00244748">
        <w:rPr>
          <w:rFonts w:ascii="Garamond" w:hAnsi="Garamond"/>
          <w:sz w:val="20"/>
          <w:szCs w:val="20"/>
        </w:rPr>
        <w:t>“</w:t>
      </w:r>
      <w:r w:rsidR="00A14128">
        <w:rPr>
          <w:rFonts w:ascii="Garamond" w:hAnsi="Garamond"/>
          <w:sz w:val="20"/>
          <w:szCs w:val="20"/>
        </w:rPr>
        <w:t>who</w:t>
      </w:r>
      <w:r w:rsidR="00244748">
        <w:rPr>
          <w:rFonts w:ascii="Garamond" w:hAnsi="Garamond"/>
          <w:sz w:val="20"/>
          <w:szCs w:val="20"/>
        </w:rPr>
        <w:t>”</w:t>
      </w:r>
      <w:r w:rsidR="00A14128">
        <w:rPr>
          <w:rFonts w:ascii="Garamond" w:hAnsi="Garamond"/>
          <w:sz w:val="20"/>
          <w:szCs w:val="20"/>
        </w:rPr>
        <w:t xml:space="preserve"> keeps the Early TA, </w:t>
      </w:r>
      <w:r w:rsidR="00244748">
        <w:rPr>
          <w:rFonts w:ascii="Garamond" w:hAnsi="Garamond"/>
          <w:sz w:val="20"/>
          <w:szCs w:val="20"/>
        </w:rPr>
        <w:t>UE,</w:t>
      </w:r>
      <w:r w:rsidR="00A14128">
        <w:rPr>
          <w:rFonts w:ascii="Garamond" w:hAnsi="Garamond"/>
          <w:sz w:val="20"/>
          <w:szCs w:val="20"/>
        </w:rPr>
        <w:t xml:space="preserve"> or the network, following can be considered:</w:t>
      </w:r>
    </w:p>
    <w:p w14:paraId="31A8DE6A" w14:textId="77777777" w:rsidR="004E7FC1" w:rsidRDefault="00A14128" w:rsidP="004B3DDB">
      <w:pPr>
        <w:rPr>
          <w:rFonts w:ascii="Garamond" w:hAnsi="Garamond"/>
          <w:sz w:val="20"/>
          <w:szCs w:val="20"/>
        </w:rPr>
      </w:pPr>
      <w:r>
        <w:rPr>
          <w:rFonts w:ascii="Garamond" w:hAnsi="Garamond"/>
          <w:sz w:val="20"/>
          <w:szCs w:val="20"/>
        </w:rPr>
        <w:t xml:space="preserve">If UE keeps Early TAs acquired for candidate cell(s) </w:t>
      </w:r>
      <w:r w:rsidRPr="00A14128">
        <w:rPr>
          <w:rFonts w:ascii="Garamond" w:hAnsi="Garamond"/>
          <w:sz w:val="20"/>
          <w:szCs w:val="20"/>
        </w:rPr>
        <w:t xml:space="preserve">there’s a problem when Early TA is sent to the UE in LTM, then UE does not really know when it was acquired – unless UE implementation remembers the Msg1 transmission time in the corresponding candidate cell! </w:t>
      </w:r>
      <w:r w:rsidR="00244748">
        <w:rPr>
          <w:rFonts w:ascii="Garamond" w:hAnsi="Garamond"/>
          <w:sz w:val="20"/>
          <w:szCs w:val="20"/>
        </w:rPr>
        <w:t xml:space="preserve"> </w:t>
      </w:r>
    </w:p>
    <w:p w14:paraId="1E4EB85A" w14:textId="1D35959E" w:rsidR="00277F61" w:rsidRDefault="00A14128" w:rsidP="004B3DDB">
      <w:pPr>
        <w:rPr>
          <w:rFonts w:ascii="Garamond" w:hAnsi="Garamond"/>
          <w:sz w:val="20"/>
          <w:szCs w:val="20"/>
        </w:rPr>
      </w:pPr>
      <w:r w:rsidRPr="00A14128">
        <w:rPr>
          <w:rFonts w:ascii="Garamond" w:hAnsi="Garamond"/>
          <w:sz w:val="20"/>
          <w:szCs w:val="20"/>
        </w:rPr>
        <w:t xml:space="preserve">On the other hand, </w:t>
      </w:r>
      <w:r w:rsidR="00245E00">
        <w:rPr>
          <w:rFonts w:ascii="Garamond" w:hAnsi="Garamond"/>
          <w:sz w:val="20"/>
          <w:szCs w:val="20"/>
        </w:rPr>
        <w:t xml:space="preserve">Early TA keeping </w:t>
      </w:r>
      <w:r w:rsidRPr="00A14128">
        <w:rPr>
          <w:rFonts w:ascii="Garamond" w:hAnsi="Garamond"/>
          <w:sz w:val="20"/>
          <w:szCs w:val="20"/>
        </w:rPr>
        <w:t>can be managed by the network using F1 interface such that only network keeps Early TA and UE forgets about it after successful mobility. Network can send another PDCCH order upon a TAT expiry, if required.</w:t>
      </w:r>
      <w:r w:rsidR="00244748">
        <w:rPr>
          <w:rFonts w:ascii="Garamond" w:hAnsi="Garamond"/>
          <w:sz w:val="20"/>
          <w:szCs w:val="20"/>
        </w:rPr>
        <w:t xml:space="preserve"> </w:t>
      </w:r>
      <w:r w:rsidR="00244748" w:rsidRPr="00244748">
        <w:rPr>
          <w:rFonts w:ascii="Garamond" w:hAnsi="Garamond"/>
          <w:sz w:val="20"/>
          <w:szCs w:val="20"/>
        </w:rPr>
        <w:t>Source cell may provide the valid timing advance value(s) (Nta) of source cell as well as candidate cell(s) to target cell when receiving successful handover confirmation from it (i.e., upon UE’s arrival on the target side). Optionally</w:t>
      </w:r>
      <w:r w:rsidR="002876E7">
        <w:rPr>
          <w:rFonts w:ascii="Garamond" w:hAnsi="Garamond"/>
          <w:sz w:val="20"/>
          <w:szCs w:val="20"/>
        </w:rPr>
        <w:t>,</w:t>
      </w:r>
      <w:r w:rsidR="00244748" w:rsidRPr="00244748">
        <w:rPr>
          <w:rFonts w:ascii="Garamond" w:hAnsi="Garamond"/>
          <w:sz w:val="20"/>
          <w:szCs w:val="20"/>
        </w:rPr>
        <w:t xml:space="preserve"> a timestamp of TA acquisition (or equivalent</w:t>
      </w:r>
      <w:r w:rsidR="002876E7">
        <w:rPr>
          <w:rFonts w:ascii="Garamond" w:hAnsi="Garamond"/>
          <w:sz w:val="20"/>
          <w:szCs w:val="20"/>
        </w:rPr>
        <w:t xml:space="preserve"> indicating how long the corresponding Early TAs can be considered valid</w:t>
      </w:r>
      <w:r w:rsidR="00244748" w:rsidRPr="00244748">
        <w:rPr>
          <w:rFonts w:ascii="Garamond" w:hAnsi="Garamond"/>
          <w:sz w:val="20"/>
          <w:szCs w:val="20"/>
        </w:rPr>
        <w:t>) may be provided along with each TA value to help target cell determine how long the receives TA value(s) can be considered valid.</w:t>
      </w:r>
      <w:r w:rsidR="005E301C">
        <w:rPr>
          <w:rFonts w:ascii="Garamond" w:hAnsi="Garamond"/>
          <w:sz w:val="20"/>
          <w:szCs w:val="20"/>
        </w:rPr>
        <w:t xml:space="preserve"> This is also easier for UE implementation as it simply can </w:t>
      </w:r>
      <w:r w:rsidR="005E301C" w:rsidRPr="005E301C">
        <w:rPr>
          <w:rFonts w:ascii="Garamond" w:hAnsi="Garamond"/>
          <w:sz w:val="20"/>
          <w:szCs w:val="20"/>
        </w:rPr>
        <w:t>release timing advance value(s) (Nta) upon successful mobility to a target cell</w:t>
      </w:r>
      <w:r w:rsidR="005E301C">
        <w:rPr>
          <w:rFonts w:ascii="Garamond" w:hAnsi="Garamond"/>
          <w:sz w:val="20"/>
          <w:szCs w:val="20"/>
        </w:rPr>
        <w:t>.</w:t>
      </w:r>
    </w:p>
    <w:p w14:paraId="2BB98FBD" w14:textId="2B8C2376" w:rsidR="00545845" w:rsidRPr="00244748" w:rsidRDefault="00545845" w:rsidP="004B3DDB">
      <w:pPr>
        <w:rPr>
          <w:rFonts w:ascii="Garamond" w:hAnsi="Garamond"/>
          <w:sz w:val="20"/>
          <w:szCs w:val="20"/>
        </w:rPr>
      </w:pPr>
      <w:r>
        <w:rPr>
          <w:rFonts w:ascii="Garamond" w:hAnsi="Garamond"/>
          <w:sz w:val="20"/>
          <w:szCs w:val="20"/>
        </w:rPr>
        <w:t>Accordingly, the following proposals are made:</w:t>
      </w:r>
    </w:p>
    <w:p w14:paraId="455B3C2A" w14:textId="1C645E8B" w:rsidR="002E03EE" w:rsidRDefault="002E03EE" w:rsidP="002E03EE">
      <w:pPr>
        <w:pStyle w:val="Proposal"/>
        <w:rPr>
          <w:rFonts w:ascii="Garamond" w:hAnsi="Garamond"/>
        </w:rPr>
      </w:pPr>
      <w:r w:rsidRPr="002E03EE">
        <w:rPr>
          <w:rFonts w:ascii="Garamond" w:hAnsi="Garamond"/>
        </w:rPr>
        <w:t>Validity of an early TA for a UE-candidate cell pair can be controlled using a legacy like TAT timer.</w:t>
      </w:r>
    </w:p>
    <w:p w14:paraId="29327188" w14:textId="77777777" w:rsidR="003B1465" w:rsidRPr="002E03EE" w:rsidRDefault="003B1465" w:rsidP="003B1465">
      <w:pPr>
        <w:pStyle w:val="Proposal"/>
        <w:rPr>
          <w:rFonts w:ascii="Garamond" w:hAnsi="Garamond"/>
        </w:rPr>
      </w:pPr>
      <w:r>
        <w:rPr>
          <w:rFonts w:ascii="Garamond" w:hAnsi="Garamond"/>
        </w:rPr>
        <w:t>In the case of non-RAR, RAN2 to discuss which node (source cell or candidate cell) is responsible for TA maintenance.</w:t>
      </w:r>
    </w:p>
    <w:p w14:paraId="512C5536" w14:textId="77777777" w:rsidR="00294665" w:rsidRPr="00987F37" w:rsidRDefault="00294665" w:rsidP="00294665">
      <w:pPr>
        <w:pStyle w:val="Proposal"/>
        <w:rPr>
          <w:rFonts w:ascii="Garamond" w:hAnsi="Garamond"/>
        </w:rPr>
      </w:pPr>
      <w:r w:rsidRPr="00987F37">
        <w:rPr>
          <w:rFonts w:ascii="Garamond" w:hAnsi="Garamond"/>
        </w:rPr>
        <w:t>In the case of RAR based TA acquisition, RAN2 to discuss which node (UE, source cell, candidate cell)</w:t>
      </w:r>
      <w:r>
        <w:rPr>
          <w:rFonts w:ascii="Garamond" w:hAnsi="Garamond"/>
        </w:rPr>
        <w:t xml:space="preserve"> </w:t>
      </w:r>
      <w:r w:rsidRPr="00987F37">
        <w:rPr>
          <w:rFonts w:ascii="Garamond" w:hAnsi="Garamond"/>
        </w:rPr>
        <w:t>is responsible for TA maintenance.</w:t>
      </w:r>
    </w:p>
    <w:p w14:paraId="581FF032" w14:textId="210D908B" w:rsidR="002E03EE" w:rsidRPr="002E03EE" w:rsidRDefault="002E03EE" w:rsidP="002E03EE">
      <w:pPr>
        <w:pStyle w:val="Proposal"/>
        <w:rPr>
          <w:rFonts w:ascii="Garamond" w:hAnsi="Garamond"/>
        </w:rPr>
      </w:pPr>
      <w:r w:rsidRPr="002E03EE">
        <w:rPr>
          <w:rFonts w:ascii="Garamond" w:hAnsi="Garamond"/>
        </w:rPr>
        <w:t>Source cell may transmit PDCCH order once it determines that the TA is not valid anymore.</w:t>
      </w:r>
      <w:r w:rsidR="006246DC">
        <w:rPr>
          <w:rFonts w:ascii="Garamond" w:hAnsi="Garamond"/>
        </w:rPr>
        <w:t xml:space="preserve"> </w:t>
      </w:r>
      <w:r w:rsidR="006246DC" w:rsidRPr="006246DC">
        <w:rPr>
          <w:rFonts w:ascii="Garamond" w:hAnsi="Garamond"/>
        </w:rPr>
        <w:t xml:space="preserve">Before transmitting PDCCH order, the updated RACH resource </w:t>
      </w:r>
      <w:r w:rsidR="006246DC">
        <w:rPr>
          <w:rFonts w:ascii="Garamond" w:hAnsi="Garamond"/>
        </w:rPr>
        <w:t xml:space="preserve">can be obtained </w:t>
      </w:r>
      <w:r w:rsidR="006246DC" w:rsidRPr="006246DC">
        <w:rPr>
          <w:rFonts w:ascii="Garamond" w:hAnsi="Garamond"/>
        </w:rPr>
        <w:t>from candidate DU</w:t>
      </w:r>
      <w:r w:rsidR="006246DC">
        <w:rPr>
          <w:rFonts w:ascii="Garamond" w:hAnsi="Garamond"/>
        </w:rPr>
        <w:t>, if needed.</w:t>
      </w:r>
    </w:p>
    <w:p w14:paraId="4F4257D0" w14:textId="7152CE15" w:rsidR="002E03EE" w:rsidRPr="00307640" w:rsidRDefault="002E03EE" w:rsidP="00307640">
      <w:pPr>
        <w:pStyle w:val="Proposal"/>
        <w:rPr>
          <w:rFonts w:ascii="Garamond" w:hAnsi="Garamond"/>
        </w:rPr>
      </w:pPr>
      <w:r w:rsidRPr="002E03EE">
        <w:rPr>
          <w:rFonts w:ascii="Garamond" w:hAnsi="Garamond"/>
        </w:rPr>
        <w:t>Source cell may provide the valid timing advance value(s) (Nta) of candidate cell(s) to target cell when receiving successful handover confirmation from it (i.e., upon UE’s arrival on the target side).</w:t>
      </w:r>
    </w:p>
    <w:p w14:paraId="116EDD29" w14:textId="77777777" w:rsidR="006B3496" w:rsidRDefault="006B3496" w:rsidP="006B3496">
      <w:pPr>
        <w:pStyle w:val="Proposal"/>
        <w:rPr>
          <w:rFonts w:ascii="Garamond" w:hAnsi="Garamond"/>
        </w:rPr>
      </w:pPr>
      <w:r>
        <w:rPr>
          <w:rFonts w:ascii="Garamond" w:hAnsi="Garamond"/>
        </w:rPr>
        <w:t xml:space="preserve">In the case of RAR based TA acquisition, RAN2 to discuss the following options for early TA value handling </w:t>
      </w:r>
      <w:r w:rsidRPr="002E03EE">
        <w:rPr>
          <w:rFonts w:ascii="Garamond" w:hAnsi="Garamond"/>
        </w:rPr>
        <w:t>upon successful mobility to a target cell.</w:t>
      </w:r>
    </w:p>
    <w:p w14:paraId="65272916" w14:textId="77777777" w:rsidR="006B3496" w:rsidRPr="00B27C79" w:rsidRDefault="006B3496" w:rsidP="006B3496">
      <w:pPr>
        <w:pStyle w:val="Proposal"/>
        <w:numPr>
          <w:ilvl w:val="0"/>
          <w:numId w:val="25"/>
        </w:numPr>
        <w:rPr>
          <w:rFonts w:ascii="Garamond" w:hAnsi="Garamond"/>
        </w:rPr>
      </w:pPr>
      <w:r w:rsidRPr="00987F37">
        <w:rPr>
          <w:rFonts w:ascii="Garamond" w:hAnsi="Garamond"/>
        </w:rPr>
        <w:t>Option</w:t>
      </w:r>
      <w:r w:rsidRPr="00B27C79">
        <w:rPr>
          <w:rFonts w:ascii="Garamond" w:hAnsi="Garamond"/>
        </w:rPr>
        <w:t xml:space="preserve"> 1: UE releases timing advance value(s) (Nta)</w:t>
      </w:r>
    </w:p>
    <w:p w14:paraId="2A601DDD" w14:textId="77777777" w:rsidR="006B3496" w:rsidRPr="00B27C79" w:rsidRDefault="006B3496" w:rsidP="006B3496">
      <w:pPr>
        <w:pStyle w:val="Proposal"/>
        <w:numPr>
          <w:ilvl w:val="0"/>
          <w:numId w:val="25"/>
        </w:numPr>
        <w:rPr>
          <w:rFonts w:ascii="Garamond" w:hAnsi="Garamond"/>
        </w:rPr>
      </w:pPr>
      <w:r w:rsidRPr="00987F37">
        <w:rPr>
          <w:rFonts w:ascii="Garamond" w:hAnsi="Garamond"/>
        </w:rPr>
        <w:t xml:space="preserve">Option 2: </w:t>
      </w:r>
      <w:r w:rsidRPr="00B27C79">
        <w:rPr>
          <w:rFonts w:ascii="Garamond" w:hAnsi="Garamond"/>
        </w:rPr>
        <w:t>UE continues keeping timing advance value(s) (Nta)</w:t>
      </w:r>
    </w:p>
    <w:p w14:paraId="051A2EBD" w14:textId="77777777" w:rsidR="008B722B" w:rsidRPr="002C5CF1" w:rsidRDefault="008B722B" w:rsidP="008B722B">
      <w:pPr>
        <w:rPr>
          <w:rFonts w:ascii="Garamond" w:hAnsi="Garamond"/>
          <w:sz w:val="20"/>
          <w:szCs w:val="20"/>
          <w:lang w:val="en-GB"/>
        </w:rPr>
      </w:pPr>
    </w:p>
    <w:p w14:paraId="2548FA13" w14:textId="35F1D2CD" w:rsidR="00DF7AB6" w:rsidRDefault="008B722B" w:rsidP="008B722B">
      <w:pPr>
        <w:rPr>
          <w:rFonts w:ascii="Garamond" w:hAnsi="Garamond"/>
          <w:sz w:val="20"/>
          <w:szCs w:val="20"/>
        </w:rPr>
      </w:pPr>
      <w:r>
        <w:rPr>
          <w:rFonts w:ascii="Garamond" w:hAnsi="Garamond"/>
          <w:sz w:val="20"/>
          <w:szCs w:val="20"/>
        </w:rPr>
        <w:t>Further, like normal handover procedure where once UE detaches from source cell, synchronizes to target’s DL and initiates PRACH transmission, a</w:t>
      </w:r>
      <w:r w:rsidRPr="008B722B">
        <w:rPr>
          <w:rFonts w:ascii="Garamond" w:hAnsi="Garamond"/>
          <w:sz w:val="20"/>
          <w:szCs w:val="20"/>
        </w:rPr>
        <w:t xml:space="preserve"> separate MAC entity </w:t>
      </w:r>
      <w:r>
        <w:rPr>
          <w:rFonts w:ascii="Garamond" w:hAnsi="Garamond"/>
          <w:sz w:val="20"/>
          <w:szCs w:val="20"/>
        </w:rPr>
        <w:t>should be</w:t>
      </w:r>
      <w:r w:rsidRPr="008B722B">
        <w:rPr>
          <w:rFonts w:ascii="Garamond" w:hAnsi="Garamond"/>
          <w:sz w:val="20"/>
          <w:szCs w:val="20"/>
        </w:rPr>
        <w:t xml:space="preserve"> used for Early TA acquisition (PRACH transmission and when configured RAR reception, Msg3 transmission etc.)</w:t>
      </w:r>
      <w:r>
        <w:rPr>
          <w:rFonts w:ascii="Garamond" w:hAnsi="Garamond"/>
          <w:sz w:val="20"/>
          <w:szCs w:val="20"/>
        </w:rPr>
        <w:t>. There may be cases e.g., f</w:t>
      </w:r>
      <w:r w:rsidRPr="008B722B">
        <w:rPr>
          <w:rFonts w:ascii="Garamond" w:hAnsi="Garamond"/>
          <w:sz w:val="20"/>
          <w:szCs w:val="20"/>
        </w:rPr>
        <w:t xml:space="preserve">or early TA acquisition </w:t>
      </w:r>
      <w:r>
        <w:rPr>
          <w:rFonts w:ascii="Garamond" w:hAnsi="Garamond"/>
          <w:sz w:val="20"/>
          <w:szCs w:val="20"/>
        </w:rPr>
        <w:t xml:space="preserve">is to be started </w:t>
      </w:r>
      <w:r w:rsidRPr="008B722B">
        <w:rPr>
          <w:rFonts w:ascii="Garamond" w:hAnsi="Garamond"/>
          <w:sz w:val="20"/>
          <w:szCs w:val="20"/>
        </w:rPr>
        <w:t>while there is an ongoing RA in serving cell</w:t>
      </w:r>
      <w:r>
        <w:rPr>
          <w:rFonts w:ascii="Garamond" w:hAnsi="Garamond"/>
          <w:sz w:val="20"/>
          <w:szCs w:val="20"/>
        </w:rPr>
        <w:t>. In this case we see that</w:t>
      </w:r>
      <w:r w:rsidRPr="008B722B">
        <w:rPr>
          <w:rFonts w:ascii="Garamond" w:hAnsi="Garamond"/>
          <w:sz w:val="20"/>
          <w:szCs w:val="20"/>
        </w:rPr>
        <w:t xml:space="preserve"> two RACHs </w:t>
      </w:r>
      <w:r>
        <w:rPr>
          <w:rFonts w:ascii="Garamond" w:hAnsi="Garamond"/>
          <w:sz w:val="20"/>
          <w:szCs w:val="20"/>
        </w:rPr>
        <w:t xml:space="preserve">may be </w:t>
      </w:r>
      <w:r w:rsidRPr="008B722B">
        <w:rPr>
          <w:rFonts w:ascii="Garamond" w:hAnsi="Garamond"/>
          <w:sz w:val="20"/>
          <w:szCs w:val="20"/>
        </w:rPr>
        <w:t xml:space="preserve">allowed in parallel. </w:t>
      </w:r>
      <w:r>
        <w:rPr>
          <w:rFonts w:ascii="Garamond" w:hAnsi="Garamond"/>
          <w:sz w:val="20"/>
          <w:szCs w:val="20"/>
        </w:rPr>
        <w:t>Whether this left to UE capability or can be considered mandatory needs to be discussed at a later stage of RAN2 work. Finally, i</w:t>
      </w:r>
      <w:r w:rsidRPr="008B722B">
        <w:rPr>
          <w:rFonts w:ascii="Garamond" w:hAnsi="Garamond"/>
          <w:sz w:val="20"/>
          <w:szCs w:val="20"/>
        </w:rPr>
        <w:t>f the candidate cell</w:t>
      </w:r>
      <w:r>
        <w:rPr>
          <w:rFonts w:ascii="Garamond" w:hAnsi="Garamond"/>
          <w:sz w:val="20"/>
          <w:szCs w:val="20"/>
        </w:rPr>
        <w:t xml:space="preserve"> </w:t>
      </w:r>
      <w:r w:rsidRPr="008B722B">
        <w:rPr>
          <w:rFonts w:ascii="Garamond" w:hAnsi="Garamond"/>
          <w:sz w:val="20"/>
          <w:szCs w:val="20"/>
        </w:rPr>
        <w:t xml:space="preserve">(DU) does not receive preamble in the configured RO, the candidate cell determines the </w:t>
      </w:r>
      <w:r w:rsidRPr="008B722B">
        <w:rPr>
          <w:rFonts w:ascii="Garamond" w:hAnsi="Garamond"/>
          <w:sz w:val="20"/>
          <w:szCs w:val="20"/>
        </w:rPr>
        <w:lastRenderedPageBreak/>
        <w:t xml:space="preserve">failure of TA acquisition and indicates this to the source cell (DU). </w:t>
      </w:r>
      <w:r>
        <w:rPr>
          <w:rFonts w:ascii="Garamond" w:hAnsi="Garamond"/>
          <w:sz w:val="20"/>
          <w:szCs w:val="20"/>
        </w:rPr>
        <w:t>This will enable the source cell to determine if it would like the UE to re-attempt Early TA acquisition and when so, source may request dedicated PRACH resources from the candidate cell (DU).</w:t>
      </w:r>
    </w:p>
    <w:p w14:paraId="145297CD" w14:textId="054FA906" w:rsidR="008B722B" w:rsidRPr="008B722B" w:rsidRDefault="008B722B" w:rsidP="008B722B">
      <w:pPr>
        <w:pStyle w:val="Proposal"/>
        <w:rPr>
          <w:rFonts w:ascii="Garamond" w:hAnsi="Garamond"/>
        </w:rPr>
      </w:pPr>
      <w:r w:rsidRPr="008B722B">
        <w:rPr>
          <w:rFonts w:ascii="Garamond" w:hAnsi="Garamond"/>
        </w:rPr>
        <w:t>A separate MAC entity is used for Early TA acquisition (PRACH transmission and when configured RAR reception</w:t>
      </w:r>
      <w:r w:rsidR="002C5CF1">
        <w:rPr>
          <w:rFonts w:ascii="Garamond" w:hAnsi="Garamond"/>
        </w:rPr>
        <w:t>)</w:t>
      </w:r>
    </w:p>
    <w:p w14:paraId="3F964620" w14:textId="5BD2107D" w:rsidR="008B722B" w:rsidRPr="008B722B" w:rsidRDefault="008B722B" w:rsidP="008B722B">
      <w:pPr>
        <w:pStyle w:val="Proposal"/>
        <w:rPr>
          <w:rFonts w:ascii="Garamond" w:hAnsi="Garamond"/>
        </w:rPr>
      </w:pPr>
      <w:r w:rsidRPr="008B722B">
        <w:rPr>
          <w:rFonts w:ascii="Garamond" w:hAnsi="Garamond"/>
        </w:rPr>
        <w:t>For early TA acquisition while there is an ongoing RA in serving cell, two RACHs are allowed in parallel. FFS: UE capability</w:t>
      </w:r>
    </w:p>
    <w:p w14:paraId="1930E202" w14:textId="38663637" w:rsidR="008B722B" w:rsidRPr="002E03EE" w:rsidRDefault="008B722B" w:rsidP="008B722B">
      <w:pPr>
        <w:pStyle w:val="Proposal"/>
        <w:rPr>
          <w:rFonts w:ascii="Garamond" w:hAnsi="Garamond"/>
        </w:rPr>
      </w:pPr>
      <w:r w:rsidRPr="008B722B">
        <w:rPr>
          <w:rFonts w:ascii="Garamond" w:hAnsi="Garamond"/>
        </w:rPr>
        <w:t>If the candidate cell</w:t>
      </w:r>
      <w:r w:rsidR="006E634C">
        <w:rPr>
          <w:rFonts w:ascii="Garamond" w:hAnsi="Garamond"/>
        </w:rPr>
        <w:t xml:space="preserve"> </w:t>
      </w:r>
      <w:r w:rsidRPr="008B722B">
        <w:rPr>
          <w:rFonts w:ascii="Garamond" w:hAnsi="Garamond"/>
        </w:rPr>
        <w:t>(DU) does not receive preamble in the configured RO, the candidate cell determines the failure of TA acquisition and indicates this to the source cell (DU).</w:t>
      </w:r>
      <w:r w:rsidR="006E634C">
        <w:rPr>
          <w:rFonts w:ascii="Garamond" w:hAnsi="Garamond"/>
        </w:rPr>
        <w:t xml:space="preserve"> </w:t>
      </w:r>
      <w:r w:rsidR="004A0C6C" w:rsidRPr="004A0C6C">
        <w:rPr>
          <w:rFonts w:ascii="Garamond" w:hAnsi="Garamond"/>
        </w:rPr>
        <w:t>Candidate DU can provide the updated RACH resource together with failure indication</w:t>
      </w:r>
      <w:r w:rsidR="006E634C">
        <w:rPr>
          <w:rFonts w:ascii="Garamond" w:hAnsi="Garamond"/>
        </w:rPr>
        <w:t>.</w:t>
      </w:r>
    </w:p>
    <w:p w14:paraId="3D185405" w14:textId="4D0889FC" w:rsidR="00733518" w:rsidRPr="00CD4E42" w:rsidRDefault="00750D3F"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Pr>
          <w:rFonts w:ascii="Times New Roman" w:eastAsia="SimSun" w:hAnsi="Times New Roman" w:cs="Times New Roman"/>
          <w:b/>
          <w:sz w:val="32"/>
          <w:szCs w:val="32"/>
          <w:lang w:val="en-GB" w:eastAsia="zh-CN"/>
        </w:rPr>
        <w:t>M</w:t>
      </w:r>
      <w:r w:rsidR="007C75DE" w:rsidRPr="007C75DE">
        <w:rPr>
          <w:rFonts w:ascii="Times New Roman" w:eastAsia="SimSun" w:hAnsi="Times New Roman" w:cs="Times New Roman"/>
          <w:b/>
          <w:sz w:val="32"/>
          <w:szCs w:val="32"/>
          <w:lang w:val="en-GB" w:eastAsia="zh-CN"/>
        </w:rPr>
        <w:t>obility Execution and cell Switch command</w:t>
      </w:r>
    </w:p>
    <w:p w14:paraId="180BD3CC" w14:textId="5F35F681" w:rsidR="00D27132" w:rsidRDefault="00E62A98" w:rsidP="0014437B">
      <w:pPr>
        <w:rPr>
          <w:rFonts w:ascii="Garamond" w:hAnsi="Garamond"/>
          <w:sz w:val="20"/>
          <w:szCs w:val="20"/>
        </w:rPr>
      </w:pPr>
      <w:r>
        <w:rPr>
          <w:rFonts w:ascii="Garamond" w:hAnsi="Garamond"/>
          <w:sz w:val="20"/>
          <w:szCs w:val="20"/>
        </w:rPr>
        <w:t xml:space="preserve">This can be modelled </w:t>
      </w:r>
      <w:proofErr w:type="gramStart"/>
      <w:r>
        <w:rPr>
          <w:rFonts w:ascii="Garamond" w:hAnsi="Garamond"/>
          <w:sz w:val="20"/>
          <w:szCs w:val="20"/>
        </w:rPr>
        <w:t>similar to</w:t>
      </w:r>
      <w:proofErr w:type="gramEnd"/>
      <w:r>
        <w:rPr>
          <w:rFonts w:ascii="Garamond" w:hAnsi="Garamond"/>
          <w:sz w:val="20"/>
          <w:szCs w:val="20"/>
        </w:rPr>
        <w:t xml:space="preserve"> that in LTE. </w:t>
      </w:r>
      <w:r w:rsidR="00B2191F">
        <w:rPr>
          <w:rFonts w:ascii="Garamond" w:hAnsi="Garamond"/>
          <w:sz w:val="20"/>
          <w:szCs w:val="20"/>
        </w:rPr>
        <w:t>Up on receiving measurement results</w:t>
      </w:r>
      <w:r w:rsidR="0014437B" w:rsidRPr="00280E9E">
        <w:rPr>
          <w:rFonts w:ascii="Garamond" w:hAnsi="Garamond"/>
          <w:sz w:val="20"/>
          <w:szCs w:val="20"/>
        </w:rPr>
        <w:t xml:space="preserve">, and having determined </w:t>
      </w:r>
      <w:r w:rsidR="00B2191F">
        <w:rPr>
          <w:rFonts w:ascii="Garamond" w:hAnsi="Garamond"/>
          <w:sz w:val="20"/>
          <w:szCs w:val="20"/>
        </w:rPr>
        <w:t xml:space="preserve">a </w:t>
      </w:r>
      <w:r w:rsidR="0014437B" w:rsidRPr="00280E9E">
        <w:rPr>
          <w:rFonts w:ascii="Garamond" w:hAnsi="Garamond"/>
          <w:sz w:val="20"/>
          <w:szCs w:val="20"/>
        </w:rPr>
        <w:t>target cell, the serving</w:t>
      </w:r>
      <w:r w:rsidR="00B2191F">
        <w:rPr>
          <w:rFonts w:ascii="Garamond" w:hAnsi="Garamond"/>
          <w:sz w:val="20"/>
          <w:szCs w:val="20"/>
        </w:rPr>
        <w:t xml:space="preserve"> </w:t>
      </w:r>
      <w:r w:rsidR="0014437B" w:rsidRPr="00280E9E">
        <w:rPr>
          <w:rFonts w:ascii="Garamond" w:hAnsi="Garamond"/>
          <w:sz w:val="20"/>
          <w:szCs w:val="20"/>
        </w:rPr>
        <w:t>cell/ source DU informs concerned target cell/ DU</w:t>
      </w:r>
      <w:r w:rsidR="00B2191F">
        <w:rPr>
          <w:rFonts w:ascii="Garamond" w:hAnsi="Garamond"/>
          <w:sz w:val="20"/>
          <w:szCs w:val="20"/>
        </w:rPr>
        <w:t>/ CU</w:t>
      </w:r>
      <w:r w:rsidR="0014437B" w:rsidRPr="00280E9E">
        <w:rPr>
          <w:rFonts w:ascii="Garamond" w:hAnsi="Garamond"/>
          <w:sz w:val="20"/>
          <w:szCs w:val="20"/>
        </w:rPr>
        <w:t xml:space="preserve"> confirming UE mobility. Target cell may send an acknowledgement for the said Mobility-Confirmation including information about PUSCH resource</w:t>
      </w:r>
      <w:r w:rsidR="00BD0119">
        <w:rPr>
          <w:rFonts w:ascii="Garamond" w:hAnsi="Garamond"/>
          <w:sz w:val="20"/>
          <w:szCs w:val="20"/>
        </w:rPr>
        <w:t xml:space="preserve"> used by the UE in the target cell to announce its arrival</w:t>
      </w:r>
      <w:r w:rsidR="0014437B" w:rsidRPr="00280E9E">
        <w:rPr>
          <w:rFonts w:ascii="Garamond" w:hAnsi="Garamond"/>
          <w:sz w:val="20"/>
          <w:szCs w:val="20"/>
        </w:rPr>
        <w:t xml:space="preserve">, if </w:t>
      </w:r>
      <w:proofErr w:type="gramStart"/>
      <w:r w:rsidR="0014437B" w:rsidRPr="00280E9E">
        <w:rPr>
          <w:rFonts w:ascii="Garamond" w:hAnsi="Garamond"/>
          <w:sz w:val="20"/>
          <w:szCs w:val="20"/>
        </w:rPr>
        <w:t>necessary</w:t>
      </w:r>
      <w:proofErr w:type="gramEnd"/>
      <w:r w:rsidR="000132AB">
        <w:rPr>
          <w:rFonts w:ascii="Garamond" w:hAnsi="Garamond"/>
          <w:sz w:val="20"/>
          <w:szCs w:val="20"/>
        </w:rPr>
        <w:t xml:space="preserve"> e.g., if CG-PUSCH resources would be used</w:t>
      </w:r>
      <w:r w:rsidR="0014437B" w:rsidRPr="00280E9E">
        <w:rPr>
          <w:rFonts w:ascii="Garamond" w:hAnsi="Garamond"/>
          <w:sz w:val="20"/>
          <w:szCs w:val="20"/>
        </w:rPr>
        <w:t>.</w:t>
      </w:r>
      <w:r w:rsidR="0014437B" w:rsidRPr="00280E9E" w:rsidDel="00476FF4">
        <w:rPr>
          <w:rFonts w:ascii="Garamond" w:hAnsi="Garamond"/>
          <w:sz w:val="20"/>
          <w:szCs w:val="20"/>
        </w:rPr>
        <w:t xml:space="preserve"> </w:t>
      </w:r>
      <w:r w:rsidR="0014437B" w:rsidRPr="00280E9E">
        <w:rPr>
          <w:rFonts w:ascii="Garamond" w:hAnsi="Garamond"/>
          <w:sz w:val="20"/>
          <w:szCs w:val="20"/>
        </w:rPr>
        <w:t xml:space="preserve">At this point (or even earlier), having determined </w:t>
      </w:r>
      <w:r w:rsidR="000132AB">
        <w:rPr>
          <w:rFonts w:ascii="Garamond" w:hAnsi="Garamond"/>
          <w:sz w:val="20"/>
          <w:szCs w:val="20"/>
        </w:rPr>
        <w:t xml:space="preserve">the </w:t>
      </w:r>
      <w:r w:rsidR="0014437B" w:rsidRPr="00280E9E">
        <w:rPr>
          <w:rFonts w:ascii="Garamond" w:hAnsi="Garamond"/>
          <w:sz w:val="20"/>
          <w:szCs w:val="20"/>
        </w:rPr>
        <w:t xml:space="preserve">target cell, a cell switch command </w:t>
      </w:r>
      <w:r w:rsidR="000132AB">
        <w:rPr>
          <w:rFonts w:ascii="Garamond" w:hAnsi="Garamond"/>
          <w:sz w:val="20"/>
          <w:szCs w:val="20"/>
        </w:rPr>
        <w:t xml:space="preserve">(LTM) </w:t>
      </w:r>
      <w:r w:rsidR="0014437B" w:rsidRPr="00280E9E">
        <w:rPr>
          <w:rFonts w:ascii="Garamond" w:hAnsi="Garamond"/>
          <w:sz w:val="20"/>
          <w:szCs w:val="20"/>
        </w:rPr>
        <w:t xml:space="preserve">is sent to the UE. </w:t>
      </w:r>
      <w:r w:rsidR="000132AB">
        <w:rPr>
          <w:rFonts w:ascii="Garamond" w:hAnsi="Garamond"/>
          <w:sz w:val="20"/>
          <w:szCs w:val="20"/>
        </w:rPr>
        <w:t xml:space="preserve">As R2 agreed previously, </w:t>
      </w:r>
      <w:r w:rsidR="0014437B" w:rsidRPr="00280E9E">
        <w:rPr>
          <w:rFonts w:ascii="Garamond" w:hAnsi="Garamond"/>
          <w:sz w:val="20"/>
          <w:szCs w:val="20"/>
        </w:rPr>
        <w:t>LTM is conveyed in a MAC CE</w:t>
      </w:r>
      <w:r w:rsidR="00480B5A">
        <w:rPr>
          <w:rFonts w:ascii="Garamond" w:hAnsi="Garamond"/>
          <w:sz w:val="20"/>
          <w:szCs w:val="20"/>
        </w:rPr>
        <w:t xml:space="preserve"> and </w:t>
      </w:r>
      <w:r w:rsidR="0014437B" w:rsidRPr="00280E9E">
        <w:rPr>
          <w:rFonts w:ascii="Garamond" w:hAnsi="Garamond"/>
          <w:sz w:val="20"/>
          <w:szCs w:val="20"/>
        </w:rPr>
        <w:t xml:space="preserve">contains at least one candidate configuration index, based on the index used in the first-RRC-Reconfiguration message. </w:t>
      </w:r>
    </w:p>
    <w:p w14:paraId="70C9FC39" w14:textId="77777777" w:rsidR="002C7BE8" w:rsidRPr="002C7BE8" w:rsidRDefault="000132AB" w:rsidP="002C7BE8">
      <w:pPr>
        <w:rPr>
          <w:rFonts w:ascii="Garamond" w:hAnsi="Garamond"/>
          <w:sz w:val="20"/>
          <w:szCs w:val="20"/>
        </w:rPr>
      </w:pPr>
      <w:r>
        <w:rPr>
          <w:rFonts w:ascii="Garamond" w:hAnsi="Garamond"/>
          <w:sz w:val="20"/>
          <w:szCs w:val="20"/>
        </w:rPr>
        <w:t>T</w:t>
      </w:r>
      <w:r w:rsidR="0014437B" w:rsidRPr="00280E9E">
        <w:rPr>
          <w:rFonts w:ascii="Garamond" w:hAnsi="Garamond"/>
          <w:sz w:val="20"/>
          <w:szCs w:val="20"/>
        </w:rPr>
        <w:t xml:space="preserve">he PUSCH resource(s) </w:t>
      </w:r>
      <w:r w:rsidR="008904AD" w:rsidRPr="00280E9E">
        <w:rPr>
          <w:rFonts w:ascii="Garamond" w:hAnsi="Garamond"/>
          <w:sz w:val="20"/>
          <w:szCs w:val="20"/>
        </w:rPr>
        <w:t>can also be</w:t>
      </w:r>
      <w:r>
        <w:rPr>
          <w:rFonts w:ascii="Garamond" w:hAnsi="Garamond"/>
          <w:sz w:val="20"/>
          <w:szCs w:val="20"/>
        </w:rPr>
        <w:t xml:space="preserve"> </w:t>
      </w:r>
      <w:r w:rsidR="0014437B" w:rsidRPr="00280E9E">
        <w:rPr>
          <w:rFonts w:ascii="Garamond" w:hAnsi="Garamond"/>
          <w:sz w:val="20"/>
          <w:szCs w:val="20"/>
        </w:rPr>
        <w:t xml:space="preserve">provided using a DCI from the target cell. </w:t>
      </w:r>
      <w:r w:rsidR="002C7BE8" w:rsidRPr="002C7BE8">
        <w:rPr>
          <w:rFonts w:ascii="Garamond" w:hAnsi="Garamond"/>
          <w:sz w:val="20"/>
          <w:szCs w:val="20"/>
        </w:rPr>
        <w:t xml:space="preserve">UE starts a T304-like timer upon reception of LTM. The T304-like timer should be generally shorter, than the T304 timer in legacy L3 based mobility since/ if the UE maintains DL Sync and a valid Early TA is available, UE should be able to quickly announce its arrival on the target cell. </w:t>
      </w:r>
    </w:p>
    <w:p w14:paraId="0FDE17BD" w14:textId="77777777" w:rsidR="002C7BE8" w:rsidRDefault="002C7BE8" w:rsidP="002C7BE8">
      <w:pPr>
        <w:keepNext/>
        <w:spacing w:after="0"/>
        <w:jc w:val="center"/>
      </w:pPr>
      <w:r>
        <w:object w:dxaOrig="14386" w:dyaOrig="6016" w14:anchorId="225D4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171.95pt" o:ole="">
            <v:imagedata r:id="rId8" o:title=""/>
          </v:shape>
          <o:OLEObject Type="Embed" ProgID="Visio.Drawing.15" ShapeID="_x0000_i1025" DrawAspect="Content" ObjectID="_1745386784" r:id="rId9"/>
        </w:object>
      </w:r>
    </w:p>
    <w:p w14:paraId="5641590B" w14:textId="1997D13E" w:rsidR="002C7BE8" w:rsidRDefault="002C7BE8" w:rsidP="002C7BE8">
      <w:pPr>
        <w:pStyle w:val="Caption"/>
        <w:jc w:val="center"/>
      </w:pPr>
      <w:bookmarkStart w:id="3" w:name="_Ref117855244"/>
      <w:r>
        <w:t xml:space="preserve">Figure </w:t>
      </w:r>
      <w:r>
        <w:fldChar w:fldCharType="begin"/>
      </w:r>
      <w:r>
        <w:instrText xml:space="preserve"> SEQ Figure \* ARABIC </w:instrText>
      </w:r>
      <w:r>
        <w:fldChar w:fldCharType="separate"/>
      </w:r>
      <w:r w:rsidR="00A21180">
        <w:rPr>
          <w:noProof/>
        </w:rPr>
        <w:t>2</w:t>
      </w:r>
      <w:r>
        <w:fldChar w:fldCharType="end"/>
      </w:r>
      <w:bookmarkEnd w:id="3"/>
      <w:r>
        <w:t>: Mobility from source to target cell under DUs in an intra-CU situation</w:t>
      </w:r>
    </w:p>
    <w:p w14:paraId="688ACD1A" w14:textId="72C8F8CE" w:rsidR="0014437B" w:rsidRDefault="006D1347" w:rsidP="002C7BE8">
      <w:pPr>
        <w:rPr>
          <w:rFonts w:ascii="Garamond" w:hAnsi="Garamond"/>
          <w:sz w:val="20"/>
          <w:szCs w:val="20"/>
        </w:rPr>
      </w:pPr>
      <w:r>
        <w:rPr>
          <w:rFonts w:ascii="Garamond" w:hAnsi="Garamond"/>
          <w:sz w:val="20"/>
          <w:szCs w:val="20"/>
          <w:lang w:val="en-GB"/>
        </w:rPr>
        <w:t xml:space="preserve">The </w:t>
      </w:r>
      <w:r w:rsidR="002C7BE8" w:rsidRPr="006D1347">
        <w:rPr>
          <w:rFonts w:ascii="Garamond" w:hAnsi="Garamond"/>
          <w:sz w:val="20"/>
          <w:szCs w:val="20"/>
        </w:rPr>
        <w:t xml:space="preserve">arrival-announcement </w:t>
      </w:r>
      <w:r>
        <w:rPr>
          <w:rFonts w:ascii="Garamond" w:hAnsi="Garamond"/>
          <w:sz w:val="20"/>
          <w:szCs w:val="20"/>
        </w:rPr>
        <w:t xml:space="preserve">can be </w:t>
      </w:r>
      <w:r w:rsidR="002C7BE8" w:rsidRPr="006D1347">
        <w:rPr>
          <w:rFonts w:ascii="Garamond" w:hAnsi="Garamond"/>
          <w:sz w:val="20"/>
          <w:szCs w:val="20"/>
        </w:rPr>
        <w:t xml:space="preserve">done by sending a </w:t>
      </w:r>
      <w:r w:rsidR="00BB186F">
        <w:rPr>
          <w:rFonts w:ascii="Garamond" w:hAnsi="Garamond"/>
          <w:sz w:val="20"/>
          <w:szCs w:val="20"/>
        </w:rPr>
        <w:t xml:space="preserve">cell-switch </w:t>
      </w:r>
      <w:r w:rsidR="002C7BE8" w:rsidRPr="006D1347">
        <w:rPr>
          <w:rFonts w:ascii="Garamond" w:hAnsi="Garamond"/>
          <w:sz w:val="20"/>
          <w:szCs w:val="20"/>
        </w:rPr>
        <w:t xml:space="preserve">complete message using </w:t>
      </w:r>
      <w:r>
        <w:rPr>
          <w:rFonts w:ascii="Garamond" w:hAnsi="Garamond"/>
          <w:sz w:val="20"/>
          <w:szCs w:val="20"/>
        </w:rPr>
        <w:t>a</w:t>
      </w:r>
      <w:r w:rsidR="002C7BE8" w:rsidRPr="006D1347">
        <w:rPr>
          <w:rFonts w:ascii="Garamond" w:hAnsi="Garamond"/>
          <w:sz w:val="20"/>
          <w:szCs w:val="20"/>
        </w:rPr>
        <w:t xml:space="preserve"> MAC CE</w:t>
      </w:r>
      <w:r>
        <w:rPr>
          <w:rFonts w:ascii="Garamond" w:hAnsi="Garamond"/>
          <w:sz w:val="20"/>
          <w:szCs w:val="20"/>
        </w:rPr>
        <w:t>, to reduce the data interruption</w:t>
      </w:r>
      <w:r w:rsidR="00BB186F">
        <w:rPr>
          <w:rFonts w:ascii="Garamond" w:hAnsi="Garamond"/>
          <w:sz w:val="20"/>
          <w:szCs w:val="20"/>
        </w:rPr>
        <w:t xml:space="preserve">, data can be exchanged </w:t>
      </w:r>
      <w:r w:rsidR="00945E90">
        <w:rPr>
          <w:rFonts w:ascii="Garamond" w:hAnsi="Garamond"/>
          <w:sz w:val="20"/>
          <w:szCs w:val="20"/>
        </w:rPr>
        <w:t xml:space="preserve">only after </w:t>
      </w:r>
      <w:r w:rsidR="00BB186F">
        <w:rPr>
          <w:rFonts w:ascii="Garamond" w:hAnsi="Garamond"/>
          <w:sz w:val="20"/>
          <w:szCs w:val="20"/>
        </w:rPr>
        <w:t xml:space="preserve">the </w:t>
      </w:r>
      <w:r w:rsidR="00945E90">
        <w:rPr>
          <w:rFonts w:ascii="Garamond" w:hAnsi="Garamond"/>
          <w:sz w:val="20"/>
          <w:szCs w:val="20"/>
        </w:rPr>
        <w:t>cell-switch procedure is complete</w:t>
      </w:r>
      <w:r w:rsidR="002C7BE8" w:rsidRPr="006D1347">
        <w:rPr>
          <w:rFonts w:ascii="Garamond" w:hAnsi="Garamond"/>
          <w:sz w:val="20"/>
          <w:szCs w:val="20"/>
        </w:rPr>
        <w:t>. The PUSCH resource for the same can be provided to the UE by the target cell using a (first) Dynamic Grant. In an intra</w:t>
      </w:r>
      <w:r w:rsidR="00D01524">
        <w:rPr>
          <w:rFonts w:ascii="Garamond" w:hAnsi="Garamond"/>
          <w:sz w:val="20"/>
          <w:szCs w:val="20"/>
        </w:rPr>
        <w:t>-</w:t>
      </w:r>
      <w:r w:rsidR="002C7BE8" w:rsidRPr="006D1347">
        <w:rPr>
          <w:rFonts w:ascii="Garamond" w:hAnsi="Garamond"/>
          <w:sz w:val="20"/>
          <w:szCs w:val="20"/>
        </w:rPr>
        <w:t xml:space="preserve">CU scenario </w:t>
      </w:r>
      <w:r w:rsidR="00081570">
        <w:rPr>
          <w:rFonts w:ascii="Garamond" w:hAnsi="Garamond"/>
          <w:sz w:val="20"/>
          <w:szCs w:val="20"/>
        </w:rPr>
        <w:t xml:space="preserve">for Rel. 18, </w:t>
      </w:r>
      <w:r w:rsidR="002C7BE8" w:rsidRPr="006D1347">
        <w:rPr>
          <w:rFonts w:ascii="Garamond" w:hAnsi="Garamond"/>
          <w:sz w:val="20"/>
          <w:szCs w:val="20"/>
        </w:rPr>
        <w:t xml:space="preserve">both the source and target cell (as shown in </w:t>
      </w:r>
      <w:r w:rsidR="002C7BE8" w:rsidRPr="006D1347">
        <w:rPr>
          <w:rFonts w:ascii="Garamond" w:hAnsi="Garamond"/>
          <w:sz w:val="20"/>
          <w:szCs w:val="20"/>
        </w:rPr>
        <w:fldChar w:fldCharType="begin"/>
      </w:r>
      <w:r w:rsidR="002C7BE8" w:rsidRPr="006D1347">
        <w:rPr>
          <w:rFonts w:ascii="Garamond" w:hAnsi="Garamond"/>
          <w:sz w:val="20"/>
          <w:szCs w:val="20"/>
        </w:rPr>
        <w:instrText xml:space="preserve"> REF _Ref117855244 \h </w:instrText>
      </w:r>
      <w:r>
        <w:rPr>
          <w:rFonts w:ascii="Garamond" w:hAnsi="Garamond"/>
          <w:sz w:val="20"/>
          <w:szCs w:val="20"/>
        </w:rPr>
        <w:instrText xml:space="preserve"> \* MERGEFORMAT </w:instrText>
      </w:r>
      <w:r w:rsidR="002C7BE8" w:rsidRPr="006D1347">
        <w:rPr>
          <w:rFonts w:ascii="Garamond" w:hAnsi="Garamond"/>
          <w:sz w:val="20"/>
          <w:szCs w:val="20"/>
        </w:rPr>
      </w:r>
      <w:r w:rsidR="002C7BE8" w:rsidRPr="006D1347">
        <w:rPr>
          <w:rFonts w:ascii="Garamond" w:hAnsi="Garamond"/>
          <w:sz w:val="20"/>
          <w:szCs w:val="20"/>
        </w:rPr>
        <w:fldChar w:fldCharType="separate"/>
      </w:r>
      <w:r w:rsidR="00A21180" w:rsidRPr="00A21180">
        <w:rPr>
          <w:rFonts w:ascii="Garamond" w:hAnsi="Garamond"/>
          <w:sz w:val="20"/>
          <w:szCs w:val="20"/>
        </w:rPr>
        <w:t>Figure 2</w:t>
      </w:r>
      <w:r w:rsidR="002C7BE8" w:rsidRPr="006D1347">
        <w:rPr>
          <w:rFonts w:ascii="Garamond" w:hAnsi="Garamond"/>
          <w:sz w:val="20"/>
          <w:szCs w:val="20"/>
        </w:rPr>
        <w:fldChar w:fldCharType="end"/>
      </w:r>
      <w:r w:rsidR="002C7BE8" w:rsidRPr="006D1347">
        <w:rPr>
          <w:rFonts w:ascii="Garamond" w:hAnsi="Garamond"/>
          <w:sz w:val="20"/>
          <w:szCs w:val="20"/>
        </w:rPr>
        <w:t>) belong to the same centralized unit, therefore</w:t>
      </w:r>
      <w:r w:rsidR="00EC2656">
        <w:rPr>
          <w:rFonts w:ascii="Garamond" w:hAnsi="Garamond"/>
          <w:sz w:val="20"/>
          <w:szCs w:val="20"/>
        </w:rPr>
        <w:t xml:space="preserve"> </w:t>
      </w:r>
      <w:r w:rsidR="002C7BE8" w:rsidRPr="006D1347">
        <w:rPr>
          <w:rFonts w:ascii="Garamond" w:hAnsi="Garamond"/>
          <w:sz w:val="20"/>
          <w:szCs w:val="20"/>
        </w:rPr>
        <w:t xml:space="preserve">gNB </w:t>
      </w:r>
      <w:r w:rsidR="00D01524">
        <w:rPr>
          <w:rFonts w:ascii="Garamond" w:hAnsi="Garamond"/>
          <w:sz w:val="20"/>
          <w:szCs w:val="20"/>
        </w:rPr>
        <w:t xml:space="preserve">can </w:t>
      </w:r>
      <w:r w:rsidR="002C7BE8" w:rsidRPr="006D1347">
        <w:rPr>
          <w:rFonts w:ascii="Garamond" w:hAnsi="Garamond"/>
          <w:sz w:val="20"/>
          <w:szCs w:val="20"/>
        </w:rPr>
        <w:t>know accurately when the UE has received LTM successfully, enabling it to send the DCI for the said Dynamic Grant via the target cell</w:t>
      </w:r>
      <w:r w:rsidR="00BF0ECE">
        <w:rPr>
          <w:rFonts w:ascii="Garamond" w:hAnsi="Garamond"/>
          <w:sz w:val="20"/>
          <w:szCs w:val="20"/>
        </w:rPr>
        <w:t>/ DU</w:t>
      </w:r>
      <w:r w:rsidR="002C7BE8" w:rsidRPr="006D1347">
        <w:rPr>
          <w:rFonts w:ascii="Garamond" w:hAnsi="Garamond"/>
          <w:sz w:val="20"/>
          <w:szCs w:val="20"/>
        </w:rPr>
        <w:t xml:space="preserve">. To this end, at least </w:t>
      </w:r>
      <w:r w:rsidR="002C7BE8" w:rsidRPr="00941707">
        <w:rPr>
          <w:rFonts w:ascii="Garamond" w:hAnsi="Garamond"/>
          <w:i/>
          <w:iCs/>
          <w:sz w:val="20"/>
          <w:szCs w:val="20"/>
        </w:rPr>
        <w:t>PDCCH-Config</w:t>
      </w:r>
      <w:r w:rsidR="002C7BE8" w:rsidRPr="006D1347">
        <w:rPr>
          <w:rFonts w:ascii="Garamond" w:hAnsi="Garamond"/>
          <w:sz w:val="20"/>
          <w:szCs w:val="20"/>
        </w:rPr>
        <w:t xml:space="preserve"> of the target cell, configured earlier using a first-RRC-Reconfiguration with some other information out of </w:t>
      </w:r>
      <w:r w:rsidR="002C7BE8" w:rsidRPr="000B3AE7">
        <w:rPr>
          <w:rFonts w:ascii="Garamond" w:hAnsi="Garamond"/>
          <w:i/>
          <w:iCs/>
          <w:sz w:val="20"/>
          <w:szCs w:val="20"/>
        </w:rPr>
        <w:t>ServingCellConfig</w:t>
      </w:r>
      <w:r w:rsidR="002C7BE8" w:rsidRPr="006D1347">
        <w:rPr>
          <w:rFonts w:ascii="Garamond" w:hAnsi="Garamond"/>
          <w:sz w:val="20"/>
          <w:szCs w:val="20"/>
        </w:rPr>
        <w:t xml:space="preserve"> is applied upon reception of LTM. As the UE may need some time to process LTM, refresh L1 synchronization including frequency and/ or BWP retuning, target cell </w:t>
      </w:r>
      <w:r w:rsidR="000B3AE7">
        <w:rPr>
          <w:rFonts w:ascii="Garamond" w:hAnsi="Garamond"/>
          <w:sz w:val="20"/>
          <w:szCs w:val="20"/>
        </w:rPr>
        <w:t xml:space="preserve">should </w:t>
      </w:r>
      <w:r w:rsidR="002C7BE8" w:rsidRPr="006D1347">
        <w:rPr>
          <w:rFonts w:ascii="Garamond" w:hAnsi="Garamond"/>
          <w:sz w:val="20"/>
          <w:szCs w:val="20"/>
        </w:rPr>
        <w:t xml:space="preserve">keep sending </w:t>
      </w:r>
      <w:r w:rsidR="002C7BE8" w:rsidRPr="006D1347">
        <w:rPr>
          <w:rFonts w:ascii="Garamond" w:hAnsi="Garamond"/>
          <w:sz w:val="20"/>
          <w:szCs w:val="20"/>
        </w:rPr>
        <w:lastRenderedPageBreak/>
        <w:t>DCI PUSCH grants on many possible DL Beams</w:t>
      </w:r>
      <w:r w:rsidR="00EF2C55">
        <w:rPr>
          <w:rStyle w:val="FootnoteReference"/>
          <w:rFonts w:ascii="Garamond" w:hAnsi="Garamond"/>
          <w:sz w:val="20"/>
          <w:szCs w:val="20"/>
        </w:rPr>
        <w:footnoteReference w:id="1"/>
      </w:r>
      <w:r w:rsidR="002C7BE8" w:rsidRPr="006D1347">
        <w:rPr>
          <w:rFonts w:ascii="Garamond" w:hAnsi="Garamond"/>
          <w:sz w:val="20"/>
          <w:szCs w:val="20"/>
        </w:rPr>
        <w:t xml:space="preserve">, hoping that UE appears in the target </w:t>
      </w:r>
      <w:r w:rsidR="000B3AE7">
        <w:rPr>
          <w:rFonts w:ascii="Garamond" w:hAnsi="Garamond"/>
          <w:sz w:val="20"/>
          <w:szCs w:val="20"/>
        </w:rPr>
        <w:t xml:space="preserve">soon </w:t>
      </w:r>
      <w:r w:rsidR="002C7BE8" w:rsidRPr="006D1347">
        <w:rPr>
          <w:rFonts w:ascii="Garamond" w:hAnsi="Garamond"/>
          <w:sz w:val="20"/>
          <w:szCs w:val="20"/>
        </w:rPr>
        <w:t xml:space="preserve">until T304-like timer is running. </w:t>
      </w:r>
      <w:r w:rsidR="009D1821">
        <w:rPr>
          <w:rFonts w:ascii="Garamond" w:hAnsi="Garamond"/>
          <w:sz w:val="20"/>
          <w:szCs w:val="20"/>
        </w:rPr>
        <w:t>The T304-like timer is used w</w:t>
      </w:r>
      <w:r w:rsidR="009D1821" w:rsidRPr="009D1821">
        <w:rPr>
          <w:rFonts w:ascii="Garamond" w:hAnsi="Garamond"/>
          <w:sz w:val="20"/>
          <w:szCs w:val="20"/>
        </w:rPr>
        <w:t>hen early TA is available</w:t>
      </w:r>
      <w:r w:rsidR="009D1821">
        <w:rPr>
          <w:rFonts w:ascii="Garamond" w:hAnsi="Garamond"/>
          <w:sz w:val="20"/>
          <w:szCs w:val="20"/>
        </w:rPr>
        <w:t>. Both T304 and T304-like timers are configured to the UE in the RRC Reconfiguration</w:t>
      </w:r>
      <w:r w:rsidR="009D1821" w:rsidRPr="009D1821">
        <w:rPr>
          <w:rFonts w:ascii="Garamond" w:hAnsi="Garamond"/>
          <w:sz w:val="20"/>
          <w:szCs w:val="20"/>
        </w:rPr>
        <w:t xml:space="preserve"> </w:t>
      </w:r>
      <w:r w:rsidR="009D1821">
        <w:rPr>
          <w:rFonts w:ascii="Garamond" w:hAnsi="Garamond"/>
          <w:sz w:val="20"/>
          <w:szCs w:val="20"/>
        </w:rPr>
        <w:t xml:space="preserve">and T304-like timer </w:t>
      </w:r>
      <w:r w:rsidR="009D1821" w:rsidRPr="009D1821">
        <w:rPr>
          <w:rFonts w:ascii="Garamond" w:hAnsi="Garamond"/>
          <w:sz w:val="20"/>
          <w:szCs w:val="20"/>
        </w:rPr>
        <w:t xml:space="preserve">is </w:t>
      </w:r>
      <w:r w:rsidR="009D1821">
        <w:rPr>
          <w:rFonts w:ascii="Garamond" w:hAnsi="Garamond"/>
          <w:sz w:val="20"/>
          <w:szCs w:val="20"/>
        </w:rPr>
        <w:t xml:space="preserve">shorter </w:t>
      </w:r>
      <w:r w:rsidR="009D1821" w:rsidRPr="009D1821">
        <w:rPr>
          <w:rFonts w:ascii="Garamond" w:hAnsi="Garamond"/>
          <w:sz w:val="20"/>
          <w:szCs w:val="20"/>
        </w:rPr>
        <w:t>than t304</w:t>
      </w:r>
      <w:r w:rsidR="009D1821">
        <w:rPr>
          <w:rFonts w:ascii="Garamond" w:hAnsi="Garamond"/>
          <w:sz w:val="20"/>
          <w:szCs w:val="20"/>
        </w:rPr>
        <w:t>.</w:t>
      </w:r>
    </w:p>
    <w:p w14:paraId="3B697DA2" w14:textId="0E614A9A" w:rsidR="00DF20A8" w:rsidRPr="00280E9E" w:rsidRDefault="00DF20A8">
      <w:pPr>
        <w:pStyle w:val="Proposal"/>
        <w:rPr>
          <w:rFonts w:ascii="Garamond" w:hAnsi="Garamond"/>
        </w:rPr>
      </w:pPr>
      <w:r>
        <w:rPr>
          <w:rFonts w:ascii="Garamond" w:hAnsi="Garamond"/>
        </w:rPr>
        <w:t xml:space="preserve">A </w:t>
      </w:r>
      <w:r w:rsidR="004F14A0">
        <w:rPr>
          <w:rFonts w:ascii="Garamond" w:hAnsi="Garamond"/>
        </w:rPr>
        <w:t xml:space="preserve">shorter </w:t>
      </w:r>
      <w:r>
        <w:rPr>
          <w:rFonts w:ascii="Garamond" w:hAnsi="Garamond"/>
        </w:rPr>
        <w:t xml:space="preserve">T304-like timer is used to </w:t>
      </w:r>
      <w:r w:rsidR="00F63793">
        <w:rPr>
          <w:rFonts w:ascii="Garamond" w:hAnsi="Garamond"/>
        </w:rPr>
        <w:t xml:space="preserve">supervise </w:t>
      </w:r>
      <w:r>
        <w:rPr>
          <w:rFonts w:ascii="Garamond" w:hAnsi="Garamond"/>
        </w:rPr>
        <w:t xml:space="preserve">the </w:t>
      </w:r>
      <w:r w:rsidR="00F63793">
        <w:rPr>
          <w:rFonts w:ascii="Garamond" w:hAnsi="Garamond"/>
        </w:rPr>
        <w:t xml:space="preserve">completion of </w:t>
      </w:r>
      <w:r w:rsidR="00DF2F12">
        <w:rPr>
          <w:rFonts w:ascii="Garamond" w:hAnsi="Garamond"/>
        </w:rPr>
        <w:t>LTM based</w:t>
      </w:r>
      <w:r>
        <w:rPr>
          <w:rFonts w:ascii="Garamond" w:hAnsi="Garamond"/>
        </w:rPr>
        <w:t xml:space="preserve"> cell switch procedure</w:t>
      </w:r>
      <w:r w:rsidR="00DF2F12">
        <w:rPr>
          <w:rFonts w:ascii="Garamond" w:hAnsi="Garamond"/>
        </w:rPr>
        <w:t xml:space="preserve"> when Early TA for the target cell is available</w:t>
      </w:r>
      <w:r w:rsidR="00330E58">
        <w:rPr>
          <w:rFonts w:ascii="Garamond" w:hAnsi="Garamond"/>
        </w:rPr>
        <w:t xml:space="preserve"> (either UE has it already or receives the same in LTM)</w:t>
      </w:r>
      <w:r w:rsidR="004F14A0">
        <w:rPr>
          <w:rFonts w:ascii="Garamond" w:hAnsi="Garamond"/>
        </w:rPr>
        <w:t>; legacy T304 timer is used otherwise</w:t>
      </w:r>
      <w:r>
        <w:rPr>
          <w:rFonts w:ascii="Garamond" w:hAnsi="Garamond"/>
        </w:rPr>
        <w:t>.</w:t>
      </w:r>
    </w:p>
    <w:p w14:paraId="31EB9DB8" w14:textId="53C427A6" w:rsidR="00B06776" w:rsidRPr="00B06776" w:rsidRDefault="00B06776" w:rsidP="00B06776">
      <w:pPr>
        <w:pStyle w:val="Proposal"/>
        <w:rPr>
          <w:rFonts w:ascii="Garamond" w:hAnsi="Garamond"/>
        </w:rPr>
      </w:pPr>
      <w:r w:rsidRPr="00B06776">
        <w:rPr>
          <w:rFonts w:ascii="Garamond" w:hAnsi="Garamond"/>
        </w:rPr>
        <w:t>The two T304 timers (short one and normal one) can be configured using RRC signalling along with the candidate cell configuration.</w:t>
      </w:r>
    </w:p>
    <w:p w14:paraId="370E60DB" w14:textId="77777777" w:rsidR="00B06776" w:rsidRPr="00B06776" w:rsidRDefault="00B06776" w:rsidP="00B06776">
      <w:pPr>
        <w:pStyle w:val="Proposal"/>
        <w:numPr>
          <w:ilvl w:val="0"/>
          <w:numId w:val="0"/>
        </w:numPr>
        <w:rPr>
          <w:rFonts w:ascii="Garamond" w:hAnsi="Garamond"/>
        </w:rPr>
      </w:pPr>
    </w:p>
    <w:p w14:paraId="60909705" w14:textId="154948F0" w:rsidR="00385134" w:rsidRPr="0016729E" w:rsidRDefault="0016729E" w:rsidP="002B4D71">
      <w:pPr>
        <w:pStyle w:val="Proposal"/>
        <w:numPr>
          <w:ilvl w:val="0"/>
          <w:numId w:val="0"/>
        </w:numPr>
        <w:rPr>
          <w:rFonts w:ascii="Garamond" w:hAnsi="Garamond"/>
          <w:sz w:val="28"/>
          <w:szCs w:val="28"/>
          <w:u w:val="single"/>
        </w:rPr>
      </w:pPr>
      <w:r>
        <w:rPr>
          <w:rFonts w:ascii="Garamond" w:hAnsi="Garamond"/>
          <w:sz w:val="28"/>
          <w:szCs w:val="28"/>
          <w:u w:val="single"/>
        </w:rPr>
        <w:t xml:space="preserve">Contents of </w:t>
      </w:r>
      <w:r w:rsidRPr="0016729E">
        <w:rPr>
          <w:rFonts w:ascii="Garamond" w:hAnsi="Garamond"/>
          <w:sz w:val="28"/>
          <w:szCs w:val="28"/>
          <w:u w:val="single"/>
        </w:rPr>
        <w:t>Cell switch command</w:t>
      </w:r>
    </w:p>
    <w:p w14:paraId="2F332128" w14:textId="77777777" w:rsidR="0016729E" w:rsidRDefault="0016729E" w:rsidP="002B4D71">
      <w:pPr>
        <w:pStyle w:val="Proposal"/>
        <w:numPr>
          <w:ilvl w:val="0"/>
          <w:numId w:val="0"/>
        </w:numPr>
        <w:rPr>
          <w:rFonts w:ascii="Garamond" w:hAnsi="Garamond"/>
          <w:b w:val="0"/>
          <w:bCs w:val="0"/>
        </w:rPr>
      </w:pPr>
      <w:r w:rsidRPr="0016729E">
        <w:rPr>
          <w:rFonts w:ascii="Garamond" w:hAnsi="Garamond"/>
          <w:b w:val="0"/>
          <w:bCs w:val="0"/>
        </w:rPr>
        <w:t xml:space="preserve">RAN2 </w:t>
      </w:r>
      <w:r>
        <w:rPr>
          <w:rFonts w:ascii="Garamond" w:hAnsi="Garamond"/>
          <w:b w:val="0"/>
          <w:bCs w:val="0"/>
        </w:rPr>
        <w:t xml:space="preserve">previously agreed that </w:t>
      </w:r>
      <w:r w:rsidRPr="0016729E">
        <w:rPr>
          <w:rFonts w:ascii="Garamond" w:hAnsi="Garamond"/>
          <w:b w:val="0"/>
          <w:bCs w:val="0"/>
        </w:rPr>
        <w:t xml:space="preserve">LTM command contains </w:t>
      </w:r>
    </w:p>
    <w:p w14:paraId="2A5D30FF" w14:textId="4A7C9957" w:rsidR="0016729E" w:rsidRDefault="0016729E" w:rsidP="002B4D71">
      <w:pPr>
        <w:pStyle w:val="Proposal"/>
        <w:numPr>
          <w:ilvl w:val="0"/>
          <w:numId w:val="0"/>
        </w:numPr>
        <w:rPr>
          <w:rFonts w:ascii="Garamond" w:hAnsi="Garamond"/>
          <w:b w:val="0"/>
          <w:bCs w:val="0"/>
        </w:rPr>
      </w:pPr>
      <w:r w:rsidRPr="0016729E">
        <w:rPr>
          <w:rFonts w:ascii="Garamond" w:hAnsi="Garamond"/>
          <w:b w:val="0"/>
          <w:bCs w:val="0"/>
        </w:rPr>
        <w:t>a) pseudo identity of a target cell</w:t>
      </w:r>
    </w:p>
    <w:p w14:paraId="1D711D45" w14:textId="77777777" w:rsidR="00382C3A" w:rsidRDefault="0016729E" w:rsidP="002B4D71">
      <w:pPr>
        <w:pStyle w:val="Proposal"/>
        <w:numPr>
          <w:ilvl w:val="0"/>
          <w:numId w:val="0"/>
        </w:numPr>
        <w:rPr>
          <w:rFonts w:ascii="Garamond" w:hAnsi="Garamond"/>
          <w:b w:val="0"/>
          <w:bCs w:val="0"/>
        </w:rPr>
      </w:pPr>
      <w:r w:rsidRPr="0016729E">
        <w:rPr>
          <w:rFonts w:ascii="Garamond" w:hAnsi="Garamond"/>
          <w:b w:val="0"/>
          <w:bCs w:val="0"/>
        </w:rPr>
        <w:t>b) Nta value of a target cell or an indication to acquire TA afresh</w:t>
      </w:r>
    </w:p>
    <w:p w14:paraId="199F5801" w14:textId="77777777" w:rsidR="00382C3A" w:rsidRDefault="00382C3A" w:rsidP="002B4D71">
      <w:pPr>
        <w:pStyle w:val="Proposal"/>
        <w:numPr>
          <w:ilvl w:val="0"/>
          <w:numId w:val="0"/>
        </w:numPr>
        <w:rPr>
          <w:rFonts w:ascii="Garamond" w:hAnsi="Garamond"/>
          <w:b w:val="0"/>
          <w:bCs w:val="0"/>
        </w:rPr>
      </w:pPr>
    </w:p>
    <w:p w14:paraId="5B2489AC" w14:textId="65BC6E9B" w:rsidR="0016729E" w:rsidRPr="0016729E" w:rsidRDefault="00382C3A" w:rsidP="002B4D71">
      <w:pPr>
        <w:pStyle w:val="Proposal"/>
        <w:numPr>
          <w:ilvl w:val="0"/>
          <w:numId w:val="0"/>
        </w:numPr>
        <w:rPr>
          <w:rFonts w:ascii="Garamond" w:hAnsi="Garamond"/>
          <w:b w:val="0"/>
          <w:bCs w:val="0"/>
        </w:rPr>
      </w:pPr>
      <w:r>
        <w:rPr>
          <w:rFonts w:ascii="Garamond" w:hAnsi="Garamond"/>
          <w:b w:val="0"/>
          <w:bCs w:val="0"/>
        </w:rPr>
        <w:t>In addition,</w:t>
      </w:r>
      <w:r w:rsidR="0016729E" w:rsidRPr="0016729E">
        <w:rPr>
          <w:rFonts w:ascii="Garamond" w:hAnsi="Garamond"/>
          <w:b w:val="0"/>
          <w:bCs w:val="0"/>
        </w:rPr>
        <w:t xml:space="preserve"> a short-T304 timer (when Nta is signalled) or a normal T304 timer (when UE needs to acquire TA afresh)</w:t>
      </w:r>
      <w:r>
        <w:rPr>
          <w:rFonts w:ascii="Garamond" w:hAnsi="Garamond"/>
          <w:b w:val="0"/>
          <w:bCs w:val="0"/>
        </w:rPr>
        <w:t xml:space="preserve"> can be configured using RRC signalling along with the candidate cell configuration. The value of the </w:t>
      </w:r>
      <w:r w:rsidRPr="0016729E">
        <w:rPr>
          <w:rFonts w:ascii="Garamond" w:hAnsi="Garamond"/>
          <w:b w:val="0"/>
          <w:bCs w:val="0"/>
        </w:rPr>
        <w:t>short-T304 timer</w:t>
      </w:r>
      <w:r>
        <w:rPr>
          <w:rFonts w:ascii="Garamond" w:hAnsi="Garamond"/>
          <w:b w:val="0"/>
          <w:bCs w:val="0"/>
        </w:rPr>
        <w:t xml:space="preserve"> and the normal </w:t>
      </w:r>
      <w:r w:rsidRPr="0016729E">
        <w:rPr>
          <w:rFonts w:ascii="Garamond" w:hAnsi="Garamond"/>
          <w:b w:val="0"/>
          <w:bCs w:val="0"/>
        </w:rPr>
        <w:t>T304 timer</w:t>
      </w:r>
      <w:r>
        <w:rPr>
          <w:rFonts w:ascii="Garamond" w:hAnsi="Garamond"/>
          <w:b w:val="0"/>
          <w:bCs w:val="0"/>
        </w:rPr>
        <w:t xml:space="preserve"> can be same for all candidate cells configured.</w:t>
      </w:r>
    </w:p>
    <w:p w14:paraId="692BF42A" w14:textId="77777777" w:rsidR="0016729E" w:rsidRDefault="0016729E" w:rsidP="002B4D71">
      <w:pPr>
        <w:pStyle w:val="Proposal"/>
        <w:numPr>
          <w:ilvl w:val="0"/>
          <w:numId w:val="0"/>
        </w:numPr>
        <w:rPr>
          <w:rFonts w:ascii="Garamond" w:hAnsi="Garamond"/>
          <w:b w:val="0"/>
          <w:bCs w:val="0"/>
        </w:rPr>
      </w:pPr>
    </w:p>
    <w:p w14:paraId="7376B5AB" w14:textId="4108DEB1" w:rsidR="0016729E" w:rsidRDefault="00FA05CC" w:rsidP="002B4D71">
      <w:pPr>
        <w:pStyle w:val="Proposal"/>
        <w:numPr>
          <w:ilvl w:val="0"/>
          <w:numId w:val="0"/>
        </w:numPr>
        <w:rPr>
          <w:rFonts w:ascii="Garamond" w:hAnsi="Garamond"/>
          <w:b w:val="0"/>
          <w:bCs w:val="0"/>
        </w:rPr>
      </w:pPr>
      <w:r>
        <w:rPr>
          <w:rFonts w:ascii="Garamond" w:hAnsi="Garamond"/>
          <w:b w:val="0"/>
          <w:bCs w:val="0"/>
        </w:rPr>
        <w:t>Further, f</w:t>
      </w:r>
      <w:r w:rsidR="0016729E">
        <w:rPr>
          <w:rFonts w:ascii="Garamond" w:hAnsi="Garamond"/>
          <w:b w:val="0"/>
          <w:bCs w:val="0"/>
        </w:rPr>
        <w:t xml:space="preserve">rom the April meeting </w:t>
      </w:r>
      <w:r w:rsidR="0016729E" w:rsidRPr="0016729E">
        <w:rPr>
          <w:rFonts w:ascii="Garamond" w:hAnsi="Garamond"/>
          <w:b w:val="0"/>
          <w:bCs w:val="0"/>
        </w:rPr>
        <w:t>RAN WG1 #112bis-e</w:t>
      </w:r>
      <w:r w:rsidR="0016729E">
        <w:rPr>
          <w:rFonts w:ascii="Garamond" w:hAnsi="Garamond"/>
          <w:b w:val="0"/>
          <w:bCs w:val="0"/>
        </w:rPr>
        <w:t>,</w:t>
      </w:r>
      <w:r w:rsidR="0016729E" w:rsidRPr="0016729E">
        <w:rPr>
          <w:rFonts w:ascii="Garamond" w:hAnsi="Garamond"/>
          <w:b w:val="0"/>
          <w:bCs w:val="0"/>
        </w:rPr>
        <w:t xml:space="preserve"> </w:t>
      </w:r>
      <w:r w:rsidR="0016729E">
        <w:rPr>
          <w:rFonts w:ascii="Garamond" w:hAnsi="Garamond"/>
          <w:b w:val="0"/>
          <w:bCs w:val="0"/>
        </w:rPr>
        <w:t>RAN1 agreed the following:</w:t>
      </w:r>
    </w:p>
    <w:tbl>
      <w:tblPr>
        <w:tblStyle w:val="TableGrid"/>
        <w:tblW w:w="0" w:type="auto"/>
        <w:tblLook w:val="04A0" w:firstRow="1" w:lastRow="0" w:firstColumn="1" w:lastColumn="0" w:noHBand="0" w:noVBand="1"/>
      </w:tblPr>
      <w:tblGrid>
        <w:gridCol w:w="9350"/>
      </w:tblGrid>
      <w:tr w:rsidR="0016729E" w14:paraId="64A4E8CE" w14:textId="77777777" w:rsidTr="0016729E">
        <w:tc>
          <w:tcPr>
            <w:tcW w:w="9350" w:type="dxa"/>
          </w:tcPr>
          <w:p w14:paraId="25840207" w14:textId="77777777" w:rsidR="0016729E" w:rsidRPr="0016729E" w:rsidRDefault="0016729E" w:rsidP="0016729E">
            <w:pPr>
              <w:pStyle w:val="ListParagraph"/>
              <w:ind w:left="0"/>
              <w:rPr>
                <w:rFonts w:ascii="Arial" w:eastAsia="DengXian" w:hAnsi="Arial" w:cs="Arial"/>
                <w:i/>
                <w:iCs/>
                <w:sz w:val="18"/>
                <w:szCs w:val="18"/>
                <w:lang w:val="en-US"/>
              </w:rPr>
            </w:pPr>
            <w:r w:rsidRPr="0016729E">
              <w:rPr>
                <w:rFonts w:ascii="Arial" w:hAnsi="Arial" w:cs="Arial"/>
                <w:i/>
                <w:iCs/>
                <w:sz w:val="18"/>
                <w:szCs w:val="18"/>
              </w:rPr>
              <w:t>From RAN1 point of view, at least the following information can be included in the cell switch command, which is conveyed by MAC CE</w:t>
            </w:r>
          </w:p>
          <w:p w14:paraId="544E7C31" w14:textId="77777777" w:rsidR="0016729E" w:rsidRPr="0016729E" w:rsidRDefault="0016729E" w:rsidP="0016729E">
            <w:pPr>
              <w:pStyle w:val="ListParagraph"/>
              <w:numPr>
                <w:ilvl w:val="1"/>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Information to identify the target cell(s)</w:t>
            </w:r>
          </w:p>
          <w:p w14:paraId="61FF3FBC" w14:textId="77777777" w:rsidR="0016729E" w:rsidRPr="0016729E" w:rsidRDefault="0016729E" w:rsidP="0016729E">
            <w:pPr>
              <w:pStyle w:val="ListParagraph"/>
              <w:numPr>
                <w:ilvl w:val="2"/>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The details including bit number are designed by RAN2</w:t>
            </w:r>
          </w:p>
          <w:p w14:paraId="183D0AA2" w14:textId="77777777" w:rsidR="0016729E" w:rsidRPr="0016729E" w:rsidRDefault="0016729E" w:rsidP="0016729E">
            <w:pPr>
              <w:pStyle w:val="ListParagraph"/>
              <w:numPr>
                <w:ilvl w:val="1"/>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TA related information (details up to the discussion in A.I. 9.10.2)</w:t>
            </w:r>
          </w:p>
          <w:p w14:paraId="78CD9B93" w14:textId="77777777" w:rsidR="0016729E" w:rsidRPr="0016729E" w:rsidRDefault="0016729E" w:rsidP="0016729E">
            <w:pPr>
              <w:pStyle w:val="ListParagraph"/>
              <w:numPr>
                <w:ilvl w:val="1"/>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1 joint or 1 pair of UL and DL unified TCI State index for the target Cell</w:t>
            </w:r>
          </w:p>
          <w:p w14:paraId="02D6557C" w14:textId="77777777" w:rsidR="0016729E" w:rsidRPr="0016729E" w:rsidRDefault="0016729E" w:rsidP="0016729E">
            <w:pPr>
              <w:pStyle w:val="ListParagraph"/>
              <w:numPr>
                <w:ilvl w:val="2"/>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Note: discussion on target SpCell is not precluded</w:t>
            </w:r>
          </w:p>
          <w:p w14:paraId="739A2BEB" w14:textId="77777777" w:rsidR="0016729E" w:rsidRPr="0016729E" w:rsidRDefault="0016729E" w:rsidP="0016729E">
            <w:pPr>
              <w:pStyle w:val="ListParagraph"/>
              <w:numPr>
                <w:ilvl w:val="1"/>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Active DL and UL BWPs for the target cell</w:t>
            </w:r>
          </w:p>
          <w:p w14:paraId="7C93C736" w14:textId="77777777" w:rsidR="0016729E" w:rsidRPr="0016729E" w:rsidRDefault="0016729E" w:rsidP="0016729E">
            <w:pPr>
              <w:pStyle w:val="ListParagraph"/>
              <w:numPr>
                <w:ilvl w:val="1"/>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FFS: Triggering of aperiodic TRS transmitted from the target cell</w:t>
            </w:r>
          </w:p>
          <w:p w14:paraId="4C4E68AA" w14:textId="77777777" w:rsidR="0016729E" w:rsidRPr="0016729E" w:rsidRDefault="0016729E" w:rsidP="0016729E">
            <w:pPr>
              <w:pStyle w:val="ListParagraph"/>
              <w:numPr>
                <w:ilvl w:val="1"/>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FFS: Triggering the CSI acquisition of the target cell and reporting to the target cell</w:t>
            </w:r>
          </w:p>
          <w:p w14:paraId="771219F2" w14:textId="77777777" w:rsidR="0016729E" w:rsidRPr="0016729E" w:rsidRDefault="0016729E" w:rsidP="0016729E">
            <w:pPr>
              <w:pStyle w:val="ListParagraph"/>
              <w:numPr>
                <w:ilvl w:val="1"/>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FFS: Triggering of aperiodic SRS transmission to the target cell</w:t>
            </w:r>
          </w:p>
          <w:p w14:paraId="0C7A511A" w14:textId="77777777" w:rsidR="0016729E" w:rsidRPr="0016729E" w:rsidRDefault="0016729E" w:rsidP="0016729E">
            <w:pPr>
              <w:pStyle w:val="ListParagraph"/>
              <w:numPr>
                <w:ilvl w:val="1"/>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FFS: C-RNTI</w:t>
            </w:r>
          </w:p>
          <w:p w14:paraId="6B3A0B49" w14:textId="77777777" w:rsidR="0016729E" w:rsidRPr="0016729E" w:rsidRDefault="0016729E" w:rsidP="0016729E">
            <w:pPr>
              <w:pStyle w:val="ListParagraph"/>
              <w:numPr>
                <w:ilvl w:val="0"/>
                <w:numId w:val="23"/>
              </w:numPr>
              <w:overflowPunct/>
              <w:autoSpaceDE/>
              <w:autoSpaceDN/>
              <w:adjustRightInd/>
              <w:snapToGrid w:val="0"/>
              <w:spacing w:before="0" w:after="100" w:afterAutospacing="1"/>
              <w:contextualSpacing w:val="0"/>
              <w:jc w:val="both"/>
              <w:textAlignment w:val="auto"/>
              <w:rPr>
                <w:rFonts w:ascii="Arial" w:hAnsi="Arial" w:cs="Arial"/>
                <w:i/>
                <w:iCs/>
                <w:sz w:val="18"/>
                <w:szCs w:val="18"/>
              </w:rPr>
            </w:pPr>
            <w:r w:rsidRPr="0016729E">
              <w:rPr>
                <w:rFonts w:ascii="Arial" w:hAnsi="Arial" w:cs="Arial"/>
                <w:i/>
                <w:iCs/>
                <w:sz w:val="18"/>
                <w:szCs w:val="18"/>
              </w:rPr>
              <w:t>FFS: the presence of each field (i.e. always present or configurable)</w:t>
            </w:r>
          </w:p>
          <w:p w14:paraId="2BD05CEA" w14:textId="77777777" w:rsidR="0016729E" w:rsidRPr="0016729E" w:rsidRDefault="0016729E" w:rsidP="0016729E">
            <w:pPr>
              <w:pStyle w:val="ListParagraph"/>
              <w:snapToGrid w:val="0"/>
              <w:ind w:left="0"/>
              <w:jc w:val="both"/>
              <w:rPr>
                <w:rFonts w:ascii="Arial" w:hAnsi="Arial" w:cs="Arial"/>
                <w:i/>
                <w:iCs/>
                <w:sz w:val="18"/>
                <w:szCs w:val="18"/>
              </w:rPr>
            </w:pPr>
            <w:r w:rsidRPr="0016729E">
              <w:rPr>
                <w:rFonts w:ascii="Arial" w:hAnsi="Arial" w:cs="Arial"/>
                <w:i/>
                <w:iCs/>
                <w:sz w:val="18"/>
                <w:szCs w:val="18"/>
              </w:rPr>
              <w:t>Conclusion</w:t>
            </w:r>
          </w:p>
          <w:p w14:paraId="7389422A" w14:textId="77777777" w:rsidR="0016729E" w:rsidRPr="0016729E" w:rsidRDefault="0016729E" w:rsidP="0016729E">
            <w:pPr>
              <w:pStyle w:val="ListParagraph"/>
              <w:numPr>
                <w:ilvl w:val="0"/>
                <w:numId w:val="24"/>
              </w:numPr>
              <w:overflowPunct/>
              <w:autoSpaceDE/>
              <w:autoSpaceDN/>
              <w:adjustRightInd/>
              <w:snapToGrid w:val="0"/>
              <w:spacing w:before="0" w:after="0"/>
              <w:ind w:left="426" w:hanging="426"/>
              <w:contextualSpacing w:val="0"/>
              <w:jc w:val="both"/>
              <w:textAlignment w:val="auto"/>
              <w:rPr>
                <w:rFonts w:ascii="Arial" w:hAnsi="Arial" w:cs="Arial"/>
                <w:i/>
                <w:iCs/>
                <w:sz w:val="18"/>
                <w:szCs w:val="18"/>
              </w:rPr>
            </w:pPr>
            <w:r w:rsidRPr="0016729E">
              <w:rPr>
                <w:rFonts w:ascii="Arial" w:hAnsi="Arial" w:cs="Arial"/>
                <w:i/>
                <w:iCs/>
                <w:sz w:val="18"/>
                <w:szCs w:val="18"/>
              </w:rPr>
              <w:t>Whether active DL and UL BWP of the target Cell/SpCell field, within the cell switch command, is always present or not is left to RAN2 decision.</w:t>
            </w:r>
          </w:p>
          <w:p w14:paraId="6E9E0752" w14:textId="77777777" w:rsidR="0016729E" w:rsidRPr="0016729E" w:rsidRDefault="0016729E" w:rsidP="0016729E">
            <w:pPr>
              <w:rPr>
                <w:rFonts w:ascii="Arial" w:eastAsia="DengXian" w:hAnsi="Arial" w:cs="Arial"/>
                <w:i/>
                <w:iCs/>
                <w:sz w:val="18"/>
                <w:szCs w:val="18"/>
                <w:highlight w:val="darkYellow"/>
                <w:lang w:eastAsia="zh-CN"/>
              </w:rPr>
            </w:pPr>
          </w:p>
          <w:p w14:paraId="619DBE9C" w14:textId="7F43FF17" w:rsidR="0016729E" w:rsidRPr="0016729E" w:rsidRDefault="0016729E" w:rsidP="0016729E">
            <w:pPr>
              <w:rPr>
                <w:rFonts w:ascii="Arial" w:eastAsia="DengXian" w:hAnsi="Arial" w:cs="Arial"/>
                <w:i/>
                <w:iCs/>
                <w:sz w:val="18"/>
                <w:szCs w:val="18"/>
                <w:highlight w:val="darkYellow"/>
                <w:lang w:eastAsia="zh-CN"/>
              </w:rPr>
            </w:pPr>
            <w:r w:rsidRPr="0016729E">
              <w:rPr>
                <w:rFonts w:ascii="Arial" w:eastAsia="DengXian" w:hAnsi="Arial" w:cs="Arial"/>
                <w:i/>
                <w:iCs/>
                <w:sz w:val="18"/>
                <w:szCs w:val="18"/>
                <w:highlight w:val="darkYellow"/>
                <w:lang w:eastAsia="zh-CN"/>
              </w:rPr>
              <w:t>Working Assumption</w:t>
            </w:r>
          </w:p>
          <w:p w14:paraId="7BA660CD" w14:textId="77777777" w:rsidR="0016729E" w:rsidRPr="0016729E" w:rsidRDefault="0016729E" w:rsidP="0016729E">
            <w:pPr>
              <w:pStyle w:val="ListParagraph"/>
              <w:snapToGrid w:val="0"/>
              <w:ind w:left="0"/>
              <w:jc w:val="both"/>
              <w:rPr>
                <w:rFonts w:ascii="Arial" w:hAnsi="Arial" w:cs="Arial"/>
                <w:i/>
                <w:iCs/>
                <w:sz w:val="18"/>
                <w:szCs w:val="18"/>
              </w:rPr>
            </w:pPr>
            <w:r w:rsidRPr="0016729E">
              <w:rPr>
                <w:rFonts w:ascii="Arial" w:hAnsi="Arial" w:cs="Arial"/>
                <w:i/>
                <w:iCs/>
                <w:sz w:val="18"/>
                <w:szCs w:val="18"/>
              </w:rPr>
              <w:t>On the presence of beam indication within cell switch command, at least for scenario 2, following is supported:</w:t>
            </w:r>
          </w:p>
          <w:p w14:paraId="38DC9B86" w14:textId="77777777" w:rsidR="0016729E" w:rsidRPr="0016729E" w:rsidRDefault="0016729E" w:rsidP="0016729E">
            <w:pPr>
              <w:pStyle w:val="ListParagraph"/>
              <w:numPr>
                <w:ilvl w:val="0"/>
                <w:numId w:val="24"/>
              </w:numPr>
              <w:overflowPunct/>
              <w:autoSpaceDE/>
              <w:autoSpaceDN/>
              <w:adjustRightInd/>
              <w:snapToGrid w:val="0"/>
              <w:spacing w:before="0" w:after="0"/>
              <w:ind w:left="426" w:hanging="426"/>
              <w:contextualSpacing w:val="0"/>
              <w:jc w:val="both"/>
              <w:textAlignment w:val="auto"/>
              <w:rPr>
                <w:rFonts w:ascii="Arial" w:hAnsi="Arial" w:cs="Arial"/>
                <w:i/>
                <w:iCs/>
                <w:sz w:val="18"/>
                <w:szCs w:val="18"/>
              </w:rPr>
            </w:pPr>
            <w:r w:rsidRPr="0016729E">
              <w:rPr>
                <w:rFonts w:ascii="Arial" w:hAnsi="Arial" w:cs="Arial"/>
                <w:i/>
                <w:iCs/>
                <w:sz w:val="18"/>
                <w:szCs w:val="18"/>
              </w:rPr>
              <w:t>A field to indicate 1 joint or 1 pair of UL and DL unified TCI State index for the target cell field is always present in the cell switch command.</w:t>
            </w:r>
          </w:p>
          <w:p w14:paraId="615713F1" w14:textId="2CCFE5FC" w:rsidR="0016729E" w:rsidRPr="0016729E" w:rsidRDefault="0016729E" w:rsidP="0016729E">
            <w:pPr>
              <w:snapToGrid w:val="0"/>
              <w:spacing w:after="100" w:afterAutospacing="1"/>
              <w:jc w:val="both"/>
              <w:rPr>
                <w:rFonts w:ascii="Arial" w:hAnsi="Arial" w:cs="Arial"/>
                <w:i/>
                <w:iCs/>
                <w:sz w:val="18"/>
                <w:szCs w:val="18"/>
                <w:lang w:val="en-GB"/>
              </w:rPr>
            </w:pPr>
          </w:p>
        </w:tc>
      </w:tr>
    </w:tbl>
    <w:p w14:paraId="665687DC" w14:textId="0C540120" w:rsidR="0016729E" w:rsidRDefault="0016729E" w:rsidP="002B4D71">
      <w:pPr>
        <w:pStyle w:val="Proposal"/>
        <w:numPr>
          <w:ilvl w:val="0"/>
          <w:numId w:val="0"/>
        </w:numPr>
        <w:rPr>
          <w:rFonts w:ascii="Garamond" w:hAnsi="Garamond"/>
          <w:b w:val="0"/>
          <w:bCs w:val="0"/>
        </w:rPr>
      </w:pPr>
    </w:p>
    <w:p w14:paraId="0DBBCD6B" w14:textId="426353C2" w:rsidR="00FA05CC" w:rsidRDefault="00FA05CC" w:rsidP="002B4D71">
      <w:pPr>
        <w:pStyle w:val="Proposal"/>
        <w:numPr>
          <w:ilvl w:val="0"/>
          <w:numId w:val="0"/>
        </w:numPr>
        <w:rPr>
          <w:rFonts w:ascii="Garamond" w:hAnsi="Garamond"/>
          <w:b w:val="0"/>
          <w:bCs w:val="0"/>
        </w:rPr>
      </w:pPr>
      <w:r>
        <w:rPr>
          <w:rFonts w:ascii="Garamond" w:hAnsi="Garamond"/>
          <w:b w:val="0"/>
          <w:bCs w:val="0"/>
        </w:rPr>
        <w:t>RAN1 has still some work to finalize the content of cell switch command. So, we think it is better to ask RAN1 directly on the final contents of the cell switch command rather than RAN2 concluding something from their work in progress.</w:t>
      </w:r>
    </w:p>
    <w:p w14:paraId="0BCB7C06" w14:textId="10943CC1" w:rsidR="00FA05CC" w:rsidRDefault="009D280E" w:rsidP="00FA05CC">
      <w:pPr>
        <w:pStyle w:val="Proposal"/>
        <w:rPr>
          <w:rFonts w:ascii="Garamond" w:hAnsi="Garamond"/>
        </w:rPr>
      </w:pPr>
      <w:r w:rsidRPr="009D280E">
        <w:rPr>
          <w:rFonts w:ascii="Garamond" w:hAnsi="Garamond"/>
        </w:rPr>
        <w:lastRenderedPageBreak/>
        <w:t>Transmission of LTM to the UE from the source cell/ DU triggers UE to monitor PDCCH in the target cell for receiving PUSCH resources, enabling the UE to announce its arrival and complete cell switch procedure</w:t>
      </w:r>
      <w:r w:rsidR="000046B5" w:rsidRPr="00FA05CC">
        <w:rPr>
          <w:rFonts w:ascii="Garamond" w:hAnsi="Garamond"/>
        </w:rPr>
        <w:t>.</w:t>
      </w:r>
    </w:p>
    <w:p w14:paraId="568BA577" w14:textId="490ACAA1" w:rsidR="00FA05CC" w:rsidRDefault="00FA05CC" w:rsidP="00FA05CC">
      <w:pPr>
        <w:pStyle w:val="Proposal"/>
        <w:rPr>
          <w:rFonts w:ascii="Garamond" w:hAnsi="Garamond"/>
        </w:rPr>
      </w:pPr>
      <w:r w:rsidRPr="00FA05CC">
        <w:rPr>
          <w:rFonts w:ascii="Garamond" w:hAnsi="Garamond"/>
        </w:rPr>
        <w:t xml:space="preserve">RAN2 send an LS </w:t>
      </w:r>
      <w:r w:rsidR="00611D6C" w:rsidRPr="00FA05CC">
        <w:rPr>
          <w:rFonts w:ascii="Garamond" w:hAnsi="Garamond"/>
        </w:rPr>
        <w:t>to RAN1</w:t>
      </w:r>
      <w:r w:rsidR="00611D6C">
        <w:rPr>
          <w:rFonts w:ascii="Garamond" w:hAnsi="Garamond"/>
        </w:rPr>
        <w:t xml:space="preserve"> requesting </w:t>
      </w:r>
      <w:r w:rsidRPr="00FA05CC">
        <w:rPr>
          <w:rFonts w:ascii="Garamond" w:hAnsi="Garamond"/>
        </w:rPr>
        <w:t>for final contents of LTM besides currently agreed ones (</w:t>
      </w:r>
      <w:r w:rsidRPr="00611D6C">
        <w:rPr>
          <w:rFonts w:ascii="Garamond" w:hAnsi="Garamond"/>
          <w:b w:val="0"/>
          <w:bCs w:val="0"/>
        </w:rPr>
        <w:t>pseudo identity of a target cell and Nta value of a target cell or an indication to acquire TA afresh</w:t>
      </w:r>
      <w:r w:rsidRPr="00FA05CC">
        <w:rPr>
          <w:rFonts w:ascii="Garamond" w:hAnsi="Garamond"/>
        </w:rPr>
        <w:t>).</w:t>
      </w:r>
    </w:p>
    <w:p w14:paraId="3E0C5882" w14:textId="79B3930E" w:rsidR="00315622" w:rsidRPr="00315622" w:rsidRDefault="00315622" w:rsidP="00315622">
      <w:pPr>
        <w:pStyle w:val="Proposal"/>
        <w:numPr>
          <w:ilvl w:val="0"/>
          <w:numId w:val="0"/>
        </w:numPr>
        <w:rPr>
          <w:rFonts w:ascii="Garamond" w:hAnsi="Garamond"/>
          <w:b w:val="0"/>
          <w:bCs w:val="0"/>
        </w:rPr>
      </w:pPr>
      <w:r w:rsidRPr="00315622">
        <w:rPr>
          <w:rFonts w:ascii="Garamond" w:hAnsi="Garamond"/>
          <w:b w:val="0"/>
          <w:bCs w:val="0"/>
        </w:rPr>
        <w:t>Finally, according to one previous agreement, once LTM cell switching fails and the suitable cell is LTM cell during cell selection, UE also can perform LTM procedure.</w:t>
      </w:r>
      <w:r>
        <w:rPr>
          <w:rFonts w:ascii="Garamond" w:hAnsi="Garamond"/>
          <w:b w:val="0"/>
          <w:bCs w:val="0"/>
        </w:rPr>
        <w:t xml:space="preserve"> To increase the chances of mobility, LTM may contain more than one target cells that may be used for handover execution if the mobility to a previous one fails.</w:t>
      </w:r>
    </w:p>
    <w:p w14:paraId="6913ACDF" w14:textId="4AAC0146" w:rsidR="002B4D71" w:rsidRPr="000046B5" w:rsidRDefault="000046B5" w:rsidP="000046B5">
      <w:pPr>
        <w:pStyle w:val="Proposal"/>
        <w:rPr>
          <w:rFonts w:ascii="Garamond" w:hAnsi="Garamond"/>
        </w:rPr>
      </w:pPr>
      <w:r w:rsidRPr="000046B5">
        <w:rPr>
          <w:rFonts w:ascii="Garamond" w:hAnsi="Garamond"/>
        </w:rPr>
        <w:t xml:space="preserve">RAN2 to discuss if </w:t>
      </w:r>
      <w:r w:rsidR="00291588">
        <w:rPr>
          <w:rFonts w:ascii="Garamond" w:hAnsi="Garamond"/>
        </w:rPr>
        <w:t xml:space="preserve">cell switching command </w:t>
      </w:r>
      <w:r w:rsidRPr="000046B5">
        <w:rPr>
          <w:rFonts w:ascii="Garamond" w:hAnsi="Garamond"/>
        </w:rPr>
        <w:t>may contain more than one target cells</w:t>
      </w:r>
      <w:r w:rsidR="002B4D71" w:rsidRPr="000046B5">
        <w:rPr>
          <w:rFonts w:ascii="Garamond" w:hAnsi="Garamond"/>
        </w:rPr>
        <w:t>.</w:t>
      </w:r>
    </w:p>
    <w:p w14:paraId="185FB279" w14:textId="637134B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75EAB89A" w:rsidR="00CE5633" w:rsidRPr="00742E3F" w:rsidRDefault="00D40CED" w:rsidP="00D40CED">
      <w:pPr>
        <w:rPr>
          <w:rFonts w:ascii="Garamond" w:hAnsi="Garamond" w:cs="Times New Roman"/>
          <w:sz w:val="20"/>
          <w:szCs w:val="20"/>
        </w:rPr>
      </w:pPr>
      <w:r w:rsidRPr="00A7299E">
        <w:rPr>
          <w:rFonts w:ascii="Garamond" w:hAnsi="Garamond"/>
          <w:sz w:val="20"/>
          <w:szCs w:val="20"/>
        </w:rPr>
        <w:t xml:space="preserve">This paper </w:t>
      </w:r>
      <w:r>
        <w:rPr>
          <w:rFonts w:ascii="Garamond" w:hAnsi="Garamond"/>
          <w:sz w:val="20"/>
          <w:szCs w:val="20"/>
        </w:rPr>
        <w:t>went</w:t>
      </w:r>
      <w:r w:rsidRPr="00A7299E">
        <w:rPr>
          <w:rFonts w:ascii="Garamond" w:hAnsi="Garamond"/>
          <w:sz w:val="20"/>
          <w:szCs w:val="20"/>
        </w:rPr>
        <w:t xml:space="preserve"> in the details of </w:t>
      </w:r>
      <w:r w:rsidR="00FE02BE">
        <w:rPr>
          <w:rFonts w:ascii="Garamond" w:hAnsi="Garamond"/>
          <w:sz w:val="20"/>
          <w:szCs w:val="20"/>
        </w:rPr>
        <w:t xml:space="preserve">cell switch </w:t>
      </w:r>
      <w:r w:rsidRPr="00A7299E">
        <w:rPr>
          <w:rFonts w:ascii="Garamond" w:hAnsi="Garamond"/>
          <w:sz w:val="20"/>
          <w:szCs w:val="20"/>
        </w:rPr>
        <w:t>procedure and builds on both RAN1 and RAN2 progress from the last meeting.</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599B2A9D" w14:textId="74F10989" w:rsidR="00CE672E" w:rsidRDefault="001337B8" w:rsidP="00EF6E5A">
      <w:pPr>
        <w:rPr>
          <w:rFonts w:ascii="Garamond" w:hAnsi="Garamond"/>
          <w:b/>
          <w:bCs/>
          <w:u w:val="single"/>
        </w:rPr>
      </w:pPr>
      <w:r>
        <w:rPr>
          <w:rFonts w:ascii="Garamond" w:hAnsi="Garamond"/>
          <w:b/>
          <w:bCs/>
          <w:u w:val="single"/>
        </w:rPr>
        <w:t>Preparation for Cell Switching</w:t>
      </w:r>
      <w:r w:rsidR="00CE672E" w:rsidRPr="00EF6E5A">
        <w:rPr>
          <w:rFonts w:ascii="Garamond" w:hAnsi="Garamond"/>
          <w:b/>
          <w:bCs/>
          <w:u w:val="single"/>
        </w:rPr>
        <w:t>:</w:t>
      </w:r>
    </w:p>
    <w:p w14:paraId="4B41D801" w14:textId="77777777" w:rsidR="00307640" w:rsidRPr="00307640" w:rsidRDefault="00307640" w:rsidP="00307640">
      <w:pPr>
        <w:rPr>
          <w:rFonts w:ascii="Garamond" w:hAnsi="Garamond"/>
        </w:rPr>
      </w:pPr>
      <w:r w:rsidRPr="00307640">
        <w:rPr>
          <w:rFonts w:ascii="Garamond" w:hAnsi="Garamond"/>
        </w:rPr>
        <w:t>Proposal 1: Validity of an early TA for a UE-candidate cell pair can be controlled using a legacy like TAT timer.</w:t>
      </w:r>
    </w:p>
    <w:p w14:paraId="38086A1E" w14:textId="77777777" w:rsidR="00307640" w:rsidRPr="00307640" w:rsidRDefault="00307640" w:rsidP="00307640">
      <w:pPr>
        <w:rPr>
          <w:rFonts w:ascii="Garamond" w:hAnsi="Garamond"/>
        </w:rPr>
      </w:pPr>
      <w:r w:rsidRPr="00307640">
        <w:rPr>
          <w:rFonts w:ascii="Garamond" w:hAnsi="Garamond"/>
        </w:rPr>
        <w:t>Proposal 2: In the case of non-RAR, RAN2 to discuss which node (source cell or candidate cell) is responsible for TA maintenance.</w:t>
      </w:r>
    </w:p>
    <w:p w14:paraId="35DBCCE0" w14:textId="77777777" w:rsidR="00307640" w:rsidRPr="00307640" w:rsidRDefault="00307640" w:rsidP="00307640">
      <w:pPr>
        <w:rPr>
          <w:rFonts w:ascii="Garamond" w:hAnsi="Garamond"/>
        </w:rPr>
      </w:pPr>
      <w:r w:rsidRPr="00307640">
        <w:rPr>
          <w:rFonts w:ascii="Garamond" w:hAnsi="Garamond"/>
        </w:rPr>
        <w:t>Proposal 3: In the case of RAR based TA acquisition, RAN2 to discuss which node (UE, source cell, candidate cell) is responsible for TA maintenance.</w:t>
      </w:r>
    </w:p>
    <w:p w14:paraId="4C4F8E42" w14:textId="77777777" w:rsidR="00307640" w:rsidRPr="00307640" w:rsidRDefault="00307640" w:rsidP="00307640">
      <w:pPr>
        <w:rPr>
          <w:rFonts w:ascii="Garamond" w:hAnsi="Garamond"/>
        </w:rPr>
      </w:pPr>
      <w:r w:rsidRPr="00307640">
        <w:rPr>
          <w:rFonts w:ascii="Garamond" w:hAnsi="Garamond"/>
        </w:rPr>
        <w:t>Proposal 4: Source cell may transmit PDCCH order once it determines that the TA is not valid anymore. Before transmitting PDCCH order, the updated RACH resource can be obtained from candidate DU, if needed.</w:t>
      </w:r>
    </w:p>
    <w:p w14:paraId="23114E7F" w14:textId="77777777" w:rsidR="00307640" w:rsidRPr="00307640" w:rsidRDefault="00307640" w:rsidP="00307640">
      <w:pPr>
        <w:rPr>
          <w:rFonts w:ascii="Garamond" w:hAnsi="Garamond"/>
        </w:rPr>
      </w:pPr>
      <w:r w:rsidRPr="00307640">
        <w:rPr>
          <w:rFonts w:ascii="Garamond" w:hAnsi="Garamond"/>
        </w:rPr>
        <w:t>Proposal 5: Source cell may provide the valid timing advance value(s) (Nta) of candidate cell(s) to target cell when receiving successful handover confirmation from it (i.e., upon UE’s arrival on the target side).</w:t>
      </w:r>
    </w:p>
    <w:p w14:paraId="69FD33C7" w14:textId="77777777" w:rsidR="00307640" w:rsidRPr="00307640" w:rsidRDefault="00307640" w:rsidP="00307640">
      <w:pPr>
        <w:rPr>
          <w:rFonts w:ascii="Garamond" w:hAnsi="Garamond"/>
        </w:rPr>
      </w:pPr>
      <w:r w:rsidRPr="00307640">
        <w:rPr>
          <w:rFonts w:ascii="Garamond" w:hAnsi="Garamond"/>
        </w:rPr>
        <w:t>Proposal 6: In the case of RAR based TA acquisition, RAN2 to discuss the following options for early TA value handling upon successful mobility to a target cell.</w:t>
      </w:r>
    </w:p>
    <w:p w14:paraId="31B84ABC" w14:textId="77777777" w:rsidR="00307640" w:rsidRPr="00307640" w:rsidRDefault="00307640" w:rsidP="00307640">
      <w:pPr>
        <w:rPr>
          <w:rFonts w:ascii="Garamond" w:hAnsi="Garamond"/>
        </w:rPr>
      </w:pPr>
      <w:r w:rsidRPr="00307640">
        <w:rPr>
          <w:rFonts w:ascii="Garamond" w:hAnsi="Garamond"/>
        </w:rPr>
        <w:t>-</w:t>
      </w:r>
      <w:r w:rsidRPr="00307640">
        <w:rPr>
          <w:rFonts w:ascii="Garamond" w:hAnsi="Garamond"/>
        </w:rPr>
        <w:tab/>
        <w:t>Option 1: UE releases timing advance value(s) (Nta)</w:t>
      </w:r>
    </w:p>
    <w:p w14:paraId="0617E84A" w14:textId="77777777" w:rsidR="00307640" w:rsidRPr="00307640" w:rsidRDefault="00307640" w:rsidP="00307640">
      <w:pPr>
        <w:rPr>
          <w:rFonts w:ascii="Garamond" w:hAnsi="Garamond"/>
        </w:rPr>
      </w:pPr>
      <w:r w:rsidRPr="00307640">
        <w:rPr>
          <w:rFonts w:ascii="Garamond" w:hAnsi="Garamond"/>
        </w:rPr>
        <w:t>-</w:t>
      </w:r>
      <w:r w:rsidRPr="00307640">
        <w:rPr>
          <w:rFonts w:ascii="Garamond" w:hAnsi="Garamond"/>
        </w:rPr>
        <w:tab/>
        <w:t>Option 2: UE continues keeping timing advance value(s) (Nta)</w:t>
      </w:r>
    </w:p>
    <w:p w14:paraId="5E371820" w14:textId="77777777" w:rsidR="00307640" w:rsidRPr="00307640" w:rsidRDefault="00307640" w:rsidP="00307640">
      <w:pPr>
        <w:rPr>
          <w:rFonts w:ascii="Garamond" w:hAnsi="Garamond"/>
        </w:rPr>
      </w:pPr>
      <w:r w:rsidRPr="00307640">
        <w:rPr>
          <w:rFonts w:ascii="Garamond" w:hAnsi="Garamond"/>
        </w:rPr>
        <w:t>Proposal 7: A separate MAC entity is used for Early TA acquisition (PRACH transmission and when configured RAR reception)</w:t>
      </w:r>
    </w:p>
    <w:p w14:paraId="02A57B24" w14:textId="77777777" w:rsidR="00307640" w:rsidRPr="00307640" w:rsidRDefault="00307640" w:rsidP="00307640">
      <w:pPr>
        <w:rPr>
          <w:rFonts w:ascii="Garamond" w:hAnsi="Garamond"/>
        </w:rPr>
      </w:pPr>
      <w:r w:rsidRPr="00307640">
        <w:rPr>
          <w:rFonts w:ascii="Garamond" w:hAnsi="Garamond"/>
        </w:rPr>
        <w:t>Proposal 8: For early TA acquisition while there is an ongoing RA in serving cell, two RACHs are allowed in parallel. FFS: UE capability</w:t>
      </w:r>
    </w:p>
    <w:p w14:paraId="2171BCB1" w14:textId="72FA54FF" w:rsidR="00307640" w:rsidRDefault="00307640" w:rsidP="00307640">
      <w:pPr>
        <w:rPr>
          <w:rFonts w:ascii="Garamond" w:hAnsi="Garamond"/>
        </w:rPr>
      </w:pPr>
      <w:r w:rsidRPr="00307640">
        <w:rPr>
          <w:rFonts w:ascii="Garamond" w:hAnsi="Garamond"/>
        </w:rPr>
        <w:t>Proposal 9: If the candidate cell (DU) does not receive preamble in the configured RO, the candidate cell determines the failure of TA acquisition and indicates this to the source cell (DU). Candidate DU can provide the updated RACH resource together with failure indication.</w:t>
      </w:r>
    </w:p>
    <w:p w14:paraId="089BA87C" w14:textId="252EACA7" w:rsidR="00307640" w:rsidRPr="00307640" w:rsidRDefault="00307640" w:rsidP="00307640">
      <w:pPr>
        <w:rPr>
          <w:rFonts w:ascii="Garamond" w:hAnsi="Garamond"/>
          <w:b/>
          <w:bCs/>
          <w:u w:val="single"/>
        </w:rPr>
      </w:pPr>
      <w:r w:rsidRPr="00307640">
        <w:rPr>
          <w:rFonts w:ascii="Garamond" w:hAnsi="Garamond"/>
          <w:b/>
          <w:bCs/>
          <w:u w:val="single"/>
        </w:rPr>
        <w:t>Mobility Execution</w:t>
      </w:r>
    </w:p>
    <w:p w14:paraId="23609704" w14:textId="77777777" w:rsidR="00307640" w:rsidRPr="00307640" w:rsidRDefault="00307640" w:rsidP="00307640">
      <w:pPr>
        <w:rPr>
          <w:rFonts w:ascii="Garamond" w:hAnsi="Garamond"/>
        </w:rPr>
      </w:pPr>
      <w:r w:rsidRPr="00307640">
        <w:rPr>
          <w:rFonts w:ascii="Garamond" w:hAnsi="Garamond"/>
        </w:rPr>
        <w:lastRenderedPageBreak/>
        <w:t>Proposal 10: A shorter T304-like timer is used to supervise the completion of LTM based cell switch procedure when Early TA for the target cell is available (either UE has it already or receives the same in LTM); legacy T304 timer is used otherwise.</w:t>
      </w:r>
    </w:p>
    <w:p w14:paraId="4B8E2E39" w14:textId="4E2FC235" w:rsidR="00307640" w:rsidRDefault="00307640" w:rsidP="00307640">
      <w:pPr>
        <w:rPr>
          <w:rFonts w:ascii="Garamond" w:hAnsi="Garamond"/>
        </w:rPr>
      </w:pPr>
      <w:r w:rsidRPr="00307640">
        <w:rPr>
          <w:rFonts w:ascii="Garamond" w:hAnsi="Garamond"/>
        </w:rPr>
        <w:t>Proposal 11: The two T304 timers (short one and normal one) can be configured using RRC signalling along with the candidate cell configuration.</w:t>
      </w:r>
    </w:p>
    <w:p w14:paraId="193A3895" w14:textId="3E9070FA" w:rsidR="00C73EF7" w:rsidRPr="00C73EF7" w:rsidRDefault="00C73EF7" w:rsidP="00C73EF7">
      <w:pPr>
        <w:pStyle w:val="Proposal"/>
        <w:numPr>
          <w:ilvl w:val="0"/>
          <w:numId w:val="0"/>
        </w:numPr>
        <w:rPr>
          <w:rFonts w:ascii="Garamond" w:hAnsi="Garamond"/>
          <w:sz w:val="22"/>
          <w:szCs w:val="22"/>
          <w:u w:val="single"/>
        </w:rPr>
      </w:pPr>
      <w:r w:rsidRPr="00C73EF7">
        <w:rPr>
          <w:rFonts w:ascii="Garamond" w:hAnsi="Garamond"/>
          <w:sz w:val="22"/>
          <w:szCs w:val="22"/>
          <w:u w:val="single"/>
        </w:rPr>
        <w:t>Contents of Cell switch command</w:t>
      </w:r>
    </w:p>
    <w:p w14:paraId="28901C45" w14:textId="77777777" w:rsidR="00307640" w:rsidRPr="00307640" w:rsidRDefault="00307640" w:rsidP="00307640">
      <w:pPr>
        <w:rPr>
          <w:rFonts w:ascii="Garamond" w:hAnsi="Garamond"/>
        </w:rPr>
      </w:pPr>
      <w:r w:rsidRPr="00307640">
        <w:rPr>
          <w:rFonts w:ascii="Garamond" w:hAnsi="Garamond"/>
        </w:rPr>
        <w:t>Proposal 12: Transmission of LTM to the UE from the source cell/ DU triggers UE to monitor PDCCH in the target cell for receiving PUSCH resources, enabling the UE to announce its arrival and complete cell switch procedure.</w:t>
      </w:r>
    </w:p>
    <w:p w14:paraId="3B995B8F" w14:textId="77777777" w:rsidR="00307640" w:rsidRPr="00307640" w:rsidRDefault="00307640" w:rsidP="00307640">
      <w:pPr>
        <w:rPr>
          <w:rFonts w:ascii="Garamond" w:hAnsi="Garamond"/>
        </w:rPr>
      </w:pPr>
      <w:r w:rsidRPr="00307640">
        <w:rPr>
          <w:rFonts w:ascii="Garamond" w:hAnsi="Garamond"/>
        </w:rPr>
        <w:t>Proposal 13: RAN2 send an LS to RAN1 requesting for final contents of LTM besides currently agreed ones (pseudo identity of a target cell and Nta value of a target cell or an indication to acquire TA afresh).</w:t>
      </w:r>
    </w:p>
    <w:p w14:paraId="12BE61B5" w14:textId="464B0335" w:rsidR="00186E9F" w:rsidRPr="00C73EF7" w:rsidRDefault="00307640" w:rsidP="00EF6E5A">
      <w:pPr>
        <w:rPr>
          <w:rFonts w:ascii="Garamond" w:hAnsi="Garamond"/>
        </w:rPr>
      </w:pPr>
      <w:r w:rsidRPr="00307640">
        <w:rPr>
          <w:rFonts w:ascii="Garamond" w:hAnsi="Garamond"/>
        </w:rPr>
        <w:t>Proposal 14: RAN2 to discuss if cell switching command may contain more than one target cells.</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1FF05696" w:rsidR="003E4A18" w:rsidRPr="000E2258" w:rsidRDefault="000E2258" w:rsidP="00A662DC">
      <w:pPr>
        <w:rPr>
          <w:rFonts w:ascii="Garamond" w:hAnsi="Garamond"/>
          <w:sz w:val="18"/>
          <w:szCs w:val="18"/>
        </w:rPr>
      </w:pPr>
      <w:r w:rsidRPr="000E2258">
        <w:rPr>
          <w:rFonts w:ascii="Garamond" w:hAnsi="Garamond"/>
          <w:sz w:val="18"/>
          <w:szCs w:val="18"/>
        </w:rPr>
        <w:t xml:space="preserve">[1]: </w:t>
      </w:r>
    </w:p>
    <w:sectPr w:rsidR="003E4A18"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B3974" w14:textId="77777777" w:rsidR="00AC2A90" w:rsidRDefault="00AC2A90" w:rsidP="00FC6453">
      <w:pPr>
        <w:spacing w:after="0" w:line="240" w:lineRule="auto"/>
      </w:pPr>
      <w:r>
        <w:separator/>
      </w:r>
    </w:p>
  </w:endnote>
  <w:endnote w:type="continuationSeparator" w:id="0">
    <w:p w14:paraId="2BD3F0E4" w14:textId="77777777" w:rsidR="00AC2A90" w:rsidRDefault="00AC2A90"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D59EC" w14:textId="77777777" w:rsidR="00AC2A90" w:rsidRDefault="00AC2A90" w:rsidP="00FC6453">
      <w:pPr>
        <w:spacing w:after="0" w:line="240" w:lineRule="auto"/>
      </w:pPr>
      <w:r>
        <w:separator/>
      </w:r>
    </w:p>
  </w:footnote>
  <w:footnote w:type="continuationSeparator" w:id="0">
    <w:p w14:paraId="659E6222" w14:textId="77777777" w:rsidR="00AC2A90" w:rsidRDefault="00AC2A90" w:rsidP="00FC6453">
      <w:pPr>
        <w:spacing w:after="0" w:line="240" w:lineRule="auto"/>
      </w:pPr>
      <w:r>
        <w:continuationSeparator/>
      </w:r>
    </w:p>
  </w:footnote>
  <w:footnote w:id="1">
    <w:p w14:paraId="1CF2EC7D" w14:textId="53FF26FF" w:rsidR="00EF2C55" w:rsidRPr="00EF2C55" w:rsidRDefault="00EF2C55">
      <w:pPr>
        <w:pStyle w:val="FootnoteText"/>
      </w:pPr>
      <w:r>
        <w:rPr>
          <w:rStyle w:val="FootnoteReference"/>
        </w:rPr>
        <w:footnoteRef/>
      </w:r>
      <w:r>
        <w:t xml:space="preserve"> </w:t>
      </w:r>
      <w:r w:rsidR="003E3F5A">
        <w:t>A</w:t>
      </w:r>
      <w:r w:rsidR="00525FBF">
        <w:t xml:space="preserve">lternatively </w:t>
      </w:r>
      <w:r w:rsidRPr="00EF2C55">
        <w:t>B</w:t>
      </w:r>
      <w:r>
        <w:t xml:space="preserve">eam signalling (TCI state) for target cell </w:t>
      </w:r>
      <w:r w:rsidR="00525FBF">
        <w:t xml:space="preserve">is done </w:t>
      </w:r>
      <w:r>
        <w:t>in LTM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B28243F"/>
    <w:multiLevelType w:val="hybridMultilevel"/>
    <w:tmpl w:val="19CACB1A"/>
    <w:lvl w:ilvl="0" w:tplc="606ED4E0">
      <w:start w:val="2"/>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621DD8"/>
    <w:multiLevelType w:val="hybridMultilevel"/>
    <w:tmpl w:val="A77CE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16cid:durableId="1327587736">
    <w:abstractNumId w:val="1"/>
  </w:num>
  <w:num w:numId="2" w16cid:durableId="1647931465">
    <w:abstractNumId w:val="5"/>
  </w:num>
  <w:num w:numId="3" w16cid:durableId="14693428">
    <w:abstractNumId w:val="8"/>
  </w:num>
  <w:num w:numId="4" w16cid:durableId="1516113577">
    <w:abstractNumId w:val="13"/>
  </w:num>
  <w:num w:numId="5" w16cid:durableId="1298679397">
    <w:abstractNumId w:val="4"/>
  </w:num>
  <w:num w:numId="6" w16cid:durableId="1529833889">
    <w:abstractNumId w:val="7"/>
  </w:num>
  <w:num w:numId="7" w16cid:durableId="446319874">
    <w:abstractNumId w:val="10"/>
  </w:num>
  <w:num w:numId="8" w16cid:durableId="321351574">
    <w:abstractNumId w:val="0"/>
  </w:num>
  <w:num w:numId="9" w16cid:durableId="791096385">
    <w:abstractNumId w:val="11"/>
  </w:num>
  <w:num w:numId="10" w16cid:durableId="1470173548">
    <w:abstractNumId w:val="9"/>
  </w:num>
  <w:num w:numId="11" w16cid:durableId="287275188">
    <w:abstractNumId w:val="2"/>
  </w:num>
  <w:num w:numId="12" w16cid:durableId="122846760">
    <w:abstractNumId w:val="5"/>
    <w:lvlOverride w:ilvl="0">
      <w:startOverride w:val="1"/>
    </w:lvlOverride>
  </w:num>
  <w:num w:numId="13" w16cid:durableId="201284771">
    <w:abstractNumId w:val="5"/>
  </w:num>
  <w:num w:numId="14" w16cid:durableId="1628662700">
    <w:abstractNumId w:val="5"/>
  </w:num>
  <w:num w:numId="15" w16cid:durableId="1856921372">
    <w:abstractNumId w:val="5"/>
  </w:num>
  <w:num w:numId="16" w16cid:durableId="1401101901">
    <w:abstractNumId w:val="5"/>
  </w:num>
  <w:num w:numId="17" w16cid:durableId="121660746">
    <w:abstractNumId w:val="3"/>
  </w:num>
  <w:num w:numId="18" w16cid:durableId="2026596462">
    <w:abstractNumId w:val="5"/>
  </w:num>
  <w:num w:numId="19" w16cid:durableId="1944070501">
    <w:abstractNumId w:val="5"/>
  </w:num>
  <w:num w:numId="20" w16cid:durableId="1438792410">
    <w:abstractNumId w:val="5"/>
  </w:num>
  <w:num w:numId="21" w16cid:durableId="1298799032">
    <w:abstractNumId w:val="12"/>
  </w:num>
  <w:num w:numId="22" w16cid:durableId="1068303452">
    <w:abstractNumId w:val="5"/>
  </w:num>
  <w:num w:numId="23" w16cid:durableId="1985037566">
    <w:abstractNumId w:val="14"/>
  </w:num>
  <w:num w:numId="24" w16cid:durableId="1537351992">
    <w:abstractNumId w:val="15"/>
  </w:num>
  <w:num w:numId="25" w16cid:durableId="104853189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1E69"/>
    <w:rsid w:val="000046B5"/>
    <w:rsid w:val="0000648A"/>
    <w:rsid w:val="00007DF2"/>
    <w:rsid w:val="0001114C"/>
    <w:rsid w:val="000132AB"/>
    <w:rsid w:val="00013840"/>
    <w:rsid w:val="00016B2C"/>
    <w:rsid w:val="000175BB"/>
    <w:rsid w:val="00027C7A"/>
    <w:rsid w:val="000316E0"/>
    <w:rsid w:val="00031999"/>
    <w:rsid w:val="000338BB"/>
    <w:rsid w:val="00035774"/>
    <w:rsid w:val="00037EC7"/>
    <w:rsid w:val="0004505D"/>
    <w:rsid w:val="00052297"/>
    <w:rsid w:val="000601F6"/>
    <w:rsid w:val="0006170C"/>
    <w:rsid w:val="000653C0"/>
    <w:rsid w:val="000711AF"/>
    <w:rsid w:val="00072F36"/>
    <w:rsid w:val="00075383"/>
    <w:rsid w:val="00080F2A"/>
    <w:rsid w:val="00081570"/>
    <w:rsid w:val="00082C7A"/>
    <w:rsid w:val="00084A01"/>
    <w:rsid w:val="00084F84"/>
    <w:rsid w:val="00090826"/>
    <w:rsid w:val="00094C5A"/>
    <w:rsid w:val="000A165E"/>
    <w:rsid w:val="000A2BB0"/>
    <w:rsid w:val="000A4C8B"/>
    <w:rsid w:val="000A5B84"/>
    <w:rsid w:val="000A6F76"/>
    <w:rsid w:val="000B3AE7"/>
    <w:rsid w:val="000B4CB9"/>
    <w:rsid w:val="000B4DCA"/>
    <w:rsid w:val="000B5090"/>
    <w:rsid w:val="000B7436"/>
    <w:rsid w:val="000C124B"/>
    <w:rsid w:val="000C1C12"/>
    <w:rsid w:val="000C20BA"/>
    <w:rsid w:val="000D6918"/>
    <w:rsid w:val="000E2258"/>
    <w:rsid w:val="000E38D0"/>
    <w:rsid w:val="000E4A50"/>
    <w:rsid w:val="000E6A78"/>
    <w:rsid w:val="000F31EF"/>
    <w:rsid w:val="00104A7C"/>
    <w:rsid w:val="00104D48"/>
    <w:rsid w:val="0011313A"/>
    <w:rsid w:val="00113BC6"/>
    <w:rsid w:val="00114197"/>
    <w:rsid w:val="001211AA"/>
    <w:rsid w:val="00122909"/>
    <w:rsid w:val="001243B1"/>
    <w:rsid w:val="00124CEF"/>
    <w:rsid w:val="00125688"/>
    <w:rsid w:val="001337B8"/>
    <w:rsid w:val="00133BAB"/>
    <w:rsid w:val="001349C1"/>
    <w:rsid w:val="00135446"/>
    <w:rsid w:val="0013580E"/>
    <w:rsid w:val="00135D25"/>
    <w:rsid w:val="0014176E"/>
    <w:rsid w:val="0014437B"/>
    <w:rsid w:val="00155AAA"/>
    <w:rsid w:val="00156033"/>
    <w:rsid w:val="00160140"/>
    <w:rsid w:val="001611F1"/>
    <w:rsid w:val="00165DC3"/>
    <w:rsid w:val="0016729E"/>
    <w:rsid w:val="001676A5"/>
    <w:rsid w:val="001716EA"/>
    <w:rsid w:val="0017228D"/>
    <w:rsid w:val="00172899"/>
    <w:rsid w:val="0017502D"/>
    <w:rsid w:val="00176E24"/>
    <w:rsid w:val="00180B0E"/>
    <w:rsid w:val="00182238"/>
    <w:rsid w:val="00182CD2"/>
    <w:rsid w:val="00186728"/>
    <w:rsid w:val="00186A4B"/>
    <w:rsid w:val="00186E9F"/>
    <w:rsid w:val="001878EC"/>
    <w:rsid w:val="001945DD"/>
    <w:rsid w:val="001A065E"/>
    <w:rsid w:val="001A12DE"/>
    <w:rsid w:val="001A3916"/>
    <w:rsid w:val="001A547E"/>
    <w:rsid w:val="001A6BB3"/>
    <w:rsid w:val="001B219E"/>
    <w:rsid w:val="001B3499"/>
    <w:rsid w:val="001C2F13"/>
    <w:rsid w:val="001C317D"/>
    <w:rsid w:val="001C7368"/>
    <w:rsid w:val="001C791C"/>
    <w:rsid w:val="001C7BF0"/>
    <w:rsid w:val="001C7CC0"/>
    <w:rsid w:val="001D4572"/>
    <w:rsid w:val="001D584A"/>
    <w:rsid w:val="001E50D4"/>
    <w:rsid w:val="001E53FE"/>
    <w:rsid w:val="001E7CD5"/>
    <w:rsid w:val="001F1A9F"/>
    <w:rsid w:val="001F29F3"/>
    <w:rsid w:val="001F657F"/>
    <w:rsid w:val="002014B3"/>
    <w:rsid w:val="00201EAC"/>
    <w:rsid w:val="00206630"/>
    <w:rsid w:val="00207C74"/>
    <w:rsid w:val="0021010E"/>
    <w:rsid w:val="002148C1"/>
    <w:rsid w:val="0021733E"/>
    <w:rsid w:val="002176FF"/>
    <w:rsid w:val="00221509"/>
    <w:rsid w:val="00224828"/>
    <w:rsid w:val="002268C7"/>
    <w:rsid w:val="00231E44"/>
    <w:rsid w:val="002325AD"/>
    <w:rsid w:val="00233B00"/>
    <w:rsid w:val="0023735A"/>
    <w:rsid w:val="00237E9C"/>
    <w:rsid w:val="002406A8"/>
    <w:rsid w:val="00241C77"/>
    <w:rsid w:val="00241D01"/>
    <w:rsid w:val="00241F98"/>
    <w:rsid w:val="00242FBB"/>
    <w:rsid w:val="00244748"/>
    <w:rsid w:val="00245C60"/>
    <w:rsid w:val="00245E00"/>
    <w:rsid w:val="0024657D"/>
    <w:rsid w:val="00247E40"/>
    <w:rsid w:val="00251244"/>
    <w:rsid w:val="00255647"/>
    <w:rsid w:val="00255DD3"/>
    <w:rsid w:val="0026239B"/>
    <w:rsid w:val="00263076"/>
    <w:rsid w:val="002676D2"/>
    <w:rsid w:val="0027067B"/>
    <w:rsid w:val="00276A24"/>
    <w:rsid w:val="00277F61"/>
    <w:rsid w:val="00280E9E"/>
    <w:rsid w:val="002872A8"/>
    <w:rsid w:val="002876E7"/>
    <w:rsid w:val="00291588"/>
    <w:rsid w:val="00292B4F"/>
    <w:rsid w:val="00293DAC"/>
    <w:rsid w:val="00294665"/>
    <w:rsid w:val="00294917"/>
    <w:rsid w:val="00295858"/>
    <w:rsid w:val="0029662A"/>
    <w:rsid w:val="00296A92"/>
    <w:rsid w:val="002A22C9"/>
    <w:rsid w:val="002A2ECD"/>
    <w:rsid w:val="002A4C51"/>
    <w:rsid w:val="002A55D9"/>
    <w:rsid w:val="002A6976"/>
    <w:rsid w:val="002B003A"/>
    <w:rsid w:val="002B4D71"/>
    <w:rsid w:val="002B5A3D"/>
    <w:rsid w:val="002B696D"/>
    <w:rsid w:val="002C1DFE"/>
    <w:rsid w:val="002C3D2D"/>
    <w:rsid w:val="002C5CF1"/>
    <w:rsid w:val="002C5E27"/>
    <w:rsid w:val="002C7BE8"/>
    <w:rsid w:val="002D1DF2"/>
    <w:rsid w:val="002E03EE"/>
    <w:rsid w:val="002E1240"/>
    <w:rsid w:val="002E3235"/>
    <w:rsid w:val="002E3B6C"/>
    <w:rsid w:val="002E5577"/>
    <w:rsid w:val="002E5873"/>
    <w:rsid w:val="002F27C3"/>
    <w:rsid w:val="002F5A69"/>
    <w:rsid w:val="002F77FC"/>
    <w:rsid w:val="00305D41"/>
    <w:rsid w:val="00306A4E"/>
    <w:rsid w:val="00307640"/>
    <w:rsid w:val="003145C8"/>
    <w:rsid w:val="00315622"/>
    <w:rsid w:val="00321BD6"/>
    <w:rsid w:val="00323A02"/>
    <w:rsid w:val="00324F3B"/>
    <w:rsid w:val="003264E8"/>
    <w:rsid w:val="00327096"/>
    <w:rsid w:val="00330E58"/>
    <w:rsid w:val="00332AD8"/>
    <w:rsid w:val="00333090"/>
    <w:rsid w:val="003374AD"/>
    <w:rsid w:val="00346AB2"/>
    <w:rsid w:val="0034738C"/>
    <w:rsid w:val="0035054D"/>
    <w:rsid w:val="00353336"/>
    <w:rsid w:val="00361B8B"/>
    <w:rsid w:val="003644B0"/>
    <w:rsid w:val="00376958"/>
    <w:rsid w:val="00377B24"/>
    <w:rsid w:val="00382C3A"/>
    <w:rsid w:val="00385134"/>
    <w:rsid w:val="00392CE3"/>
    <w:rsid w:val="00393691"/>
    <w:rsid w:val="003962E9"/>
    <w:rsid w:val="0039704D"/>
    <w:rsid w:val="003A32C1"/>
    <w:rsid w:val="003A422B"/>
    <w:rsid w:val="003A6C51"/>
    <w:rsid w:val="003A731B"/>
    <w:rsid w:val="003B1465"/>
    <w:rsid w:val="003C3D22"/>
    <w:rsid w:val="003C6344"/>
    <w:rsid w:val="003D09B9"/>
    <w:rsid w:val="003D10E6"/>
    <w:rsid w:val="003D1737"/>
    <w:rsid w:val="003D2B38"/>
    <w:rsid w:val="003E0030"/>
    <w:rsid w:val="003E06D5"/>
    <w:rsid w:val="003E1925"/>
    <w:rsid w:val="003E2B71"/>
    <w:rsid w:val="003E3C25"/>
    <w:rsid w:val="003E3F5A"/>
    <w:rsid w:val="003E4A18"/>
    <w:rsid w:val="003E6223"/>
    <w:rsid w:val="003F0463"/>
    <w:rsid w:val="003F1678"/>
    <w:rsid w:val="003F1FB2"/>
    <w:rsid w:val="003F5536"/>
    <w:rsid w:val="004004ED"/>
    <w:rsid w:val="00402305"/>
    <w:rsid w:val="00402721"/>
    <w:rsid w:val="00410779"/>
    <w:rsid w:val="00411ABC"/>
    <w:rsid w:val="004129FB"/>
    <w:rsid w:val="00412CD0"/>
    <w:rsid w:val="00413775"/>
    <w:rsid w:val="004267E0"/>
    <w:rsid w:val="00430987"/>
    <w:rsid w:val="00431D11"/>
    <w:rsid w:val="00436ECE"/>
    <w:rsid w:val="004412D3"/>
    <w:rsid w:val="00443173"/>
    <w:rsid w:val="00452B28"/>
    <w:rsid w:val="00452D98"/>
    <w:rsid w:val="004537EC"/>
    <w:rsid w:val="00454CD4"/>
    <w:rsid w:val="00455538"/>
    <w:rsid w:val="00455F13"/>
    <w:rsid w:val="00466103"/>
    <w:rsid w:val="0047154B"/>
    <w:rsid w:val="00473823"/>
    <w:rsid w:val="00475DF5"/>
    <w:rsid w:val="00480AB5"/>
    <w:rsid w:val="00480B5A"/>
    <w:rsid w:val="00481055"/>
    <w:rsid w:val="00481CE7"/>
    <w:rsid w:val="00484DDA"/>
    <w:rsid w:val="00486034"/>
    <w:rsid w:val="0048627F"/>
    <w:rsid w:val="004877DB"/>
    <w:rsid w:val="004903CB"/>
    <w:rsid w:val="0049358A"/>
    <w:rsid w:val="00497DF4"/>
    <w:rsid w:val="00497F46"/>
    <w:rsid w:val="004A0C6C"/>
    <w:rsid w:val="004A72C1"/>
    <w:rsid w:val="004B174C"/>
    <w:rsid w:val="004B3DDB"/>
    <w:rsid w:val="004B4468"/>
    <w:rsid w:val="004B458E"/>
    <w:rsid w:val="004B7C91"/>
    <w:rsid w:val="004C2669"/>
    <w:rsid w:val="004C4990"/>
    <w:rsid w:val="004C532C"/>
    <w:rsid w:val="004D1BB9"/>
    <w:rsid w:val="004D21B9"/>
    <w:rsid w:val="004D346B"/>
    <w:rsid w:val="004D45C8"/>
    <w:rsid w:val="004E2DF0"/>
    <w:rsid w:val="004E41EE"/>
    <w:rsid w:val="004E48F7"/>
    <w:rsid w:val="004E6C3E"/>
    <w:rsid w:val="004E7FC1"/>
    <w:rsid w:val="004F0166"/>
    <w:rsid w:val="004F0E74"/>
    <w:rsid w:val="004F14A0"/>
    <w:rsid w:val="004F367B"/>
    <w:rsid w:val="005037F8"/>
    <w:rsid w:val="00506CEF"/>
    <w:rsid w:val="00507030"/>
    <w:rsid w:val="0051361E"/>
    <w:rsid w:val="00515FC5"/>
    <w:rsid w:val="0051762B"/>
    <w:rsid w:val="00521BD3"/>
    <w:rsid w:val="00523D8B"/>
    <w:rsid w:val="00525FBF"/>
    <w:rsid w:val="00532307"/>
    <w:rsid w:val="005357E6"/>
    <w:rsid w:val="00540952"/>
    <w:rsid w:val="005409CE"/>
    <w:rsid w:val="00540E31"/>
    <w:rsid w:val="005417A6"/>
    <w:rsid w:val="005417D3"/>
    <w:rsid w:val="0054427E"/>
    <w:rsid w:val="00545845"/>
    <w:rsid w:val="005463EB"/>
    <w:rsid w:val="005464B8"/>
    <w:rsid w:val="00546610"/>
    <w:rsid w:val="0054781A"/>
    <w:rsid w:val="0055215E"/>
    <w:rsid w:val="00555CFF"/>
    <w:rsid w:val="00564FF2"/>
    <w:rsid w:val="0057200D"/>
    <w:rsid w:val="00574E91"/>
    <w:rsid w:val="005800D1"/>
    <w:rsid w:val="005815F5"/>
    <w:rsid w:val="005836A3"/>
    <w:rsid w:val="005861DF"/>
    <w:rsid w:val="00591DC0"/>
    <w:rsid w:val="005920C5"/>
    <w:rsid w:val="0059723F"/>
    <w:rsid w:val="005A06E1"/>
    <w:rsid w:val="005A6503"/>
    <w:rsid w:val="005A7ADF"/>
    <w:rsid w:val="005A7FA2"/>
    <w:rsid w:val="005B072C"/>
    <w:rsid w:val="005B22B1"/>
    <w:rsid w:val="005B2F31"/>
    <w:rsid w:val="005B7405"/>
    <w:rsid w:val="005B7C0E"/>
    <w:rsid w:val="005C21DB"/>
    <w:rsid w:val="005C311D"/>
    <w:rsid w:val="005C581A"/>
    <w:rsid w:val="005D55AB"/>
    <w:rsid w:val="005E003D"/>
    <w:rsid w:val="005E09BE"/>
    <w:rsid w:val="005E301C"/>
    <w:rsid w:val="005E4124"/>
    <w:rsid w:val="005F51BD"/>
    <w:rsid w:val="005F76F8"/>
    <w:rsid w:val="00605594"/>
    <w:rsid w:val="0060657D"/>
    <w:rsid w:val="00606E12"/>
    <w:rsid w:val="00607A1C"/>
    <w:rsid w:val="00607DE8"/>
    <w:rsid w:val="006101BA"/>
    <w:rsid w:val="00611D6C"/>
    <w:rsid w:val="0061405D"/>
    <w:rsid w:val="0061679A"/>
    <w:rsid w:val="00622BDB"/>
    <w:rsid w:val="006246DC"/>
    <w:rsid w:val="00630420"/>
    <w:rsid w:val="006305A0"/>
    <w:rsid w:val="00630DF5"/>
    <w:rsid w:val="00640DCF"/>
    <w:rsid w:val="00642B89"/>
    <w:rsid w:val="0064349F"/>
    <w:rsid w:val="00647426"/>
    <w:rsid w:val="00654BEE"/>
    <w:rsid w:val="0065544D"/>
    <w:rsid w:val="00657CA7"/>
    <w:rsid w:val="00665C1E"/>
    <w:rsid w:val="00666848"/>
    <w:rsid w:val="00666D5E"/>
    <w:rsid w:val="00671992"/>
    <w:rsid w:val="00671B79"/>
    <w:rsid w:val="006741BA"/>
    <w:rsid w:val="00686137"/>
    <w:rsid w:val="00687224"/>
    <w:rsid w:val="0069176D"/>
    <w:rsid w:val="0069202C"/>
    <w:rsid w:val="00692EF4"/>
    <w:rsid w:val="00695FC8"/>
    <w:rsid w:val="0069755E"/>
    <w:rsid w:val="006A0224"/>
    <w:rsid w:val="006A448B"/>
    <w:rsid w:val="006B1AD8"/>
    <w:rsid w:val="006B2C55"/>
    <w:rsid w:val="006B3496"/>
    <w:rsid w:val="006C092A"/>
    <w:rsid w:val="006C1536"/>
    <w:rsid w:val="006C24AE"/>
    <w:rsid w:val="006C3868"/>
    <w:rsid w:val="006C5F71"/>
    <w:rsid w:val="006D0714"/>
    <w:rsid w:val="006D0F86"/>
    <w:rsid w:val="006D1347"/>
    <w:rsid w:val="006D293C"/>
    <w:rsid w:val="006D379B"/>
    <w:rsid w:val="006D3E93"/>
    <w:rsid w:val="006E634C"/>
    <w:rsid w:val="006F43D9"/>
    <w:rsid w:val="006F57F6"/>
    <w:rsid w:val="006F5EEC"/>
    <w:rsid w:val="007009DC"/>
    <w:rsid w:val="00700BC8"/>
    <w:rsid w:val="00700C64"/>
    <w:rsid w:val="007022BC"/>
    <w:rsid w:val="007065D9"/>
    <w:rsid w:val="00710217"/>
    <w:rsid w:val="007123BA"/>
    <w:rsid w:val="007126C5"/>
    <w:rsid w:val="007129AD"/>
    <w:rsid w:val="007141D3"/>
    <w:rsid w:val="00730096"/>
    <w:rsid w:val="00731253"/>
    <w:rsid w:val="00731463"/>
    <w:rsid w:val="00733518"/>
    <w:rsid w:val="00734FF0"/>
    <w:rsid w:val="007402ED"/>
    <w:rsid w:val="00742E3F"/>
    <w:rsid w:val="0074618D"/>
    <w:rsid w:val="00746759"/>
    <w:rsid w:val="00746B52"/>
    <w:rsid w:val="00750D3F"/>
    <w:rsid w:val="00750FCF"/>
    <w:rsid w:val="007549E8"/>
    <w:rsid w:val="00760D69"/>
    <w:rsid w:val="00761D1B"/>
    <w:rsid w:val="007634DD"/>
    <w:rsid w:val="0076641C"/>
    <w:rsid w:val="00766611"/>
    <w:rsid w:val="007669F7"/>
    <w:rsid w:val="00770BE4"/>
    <w:rsid w:val="00771B6C"/>
    <w:rsid w:val="00776A56"/>
    <w:rsid w:val="00782194"/>
    <w:rsid w:val="007828DA"/>
    <w:rsid w:val="00783889"/>
    <w:rsid w:val="00784908"/>
    <w:rsid w:val="007873E2"/>
    <w:rsid w:val="00787D39"/>
    <w:rsid w:val="007903AE"/>
    <w:rsid w:val="00790F83"/>
    <w:rsid w:val="00794482"/>
    <w:rsid w:val="007A4503"/>
    <w:rsid w:val="007A45FC"/>
    <w:rsid w:val="007B2269"/>
    <w:rsid w:val="007B326C"/>
    <w:rsid w:val="007B3F8E"/>
    <w:rsid w:val="007B41CA"/>
    <w:rsid w:val="007B51FC"/>
    <w:rsid w:val="007B5BAB"/>
    <w:rsid w:val="007B6B92"/>
    <w:rsid w:val="007C4AB1"/>
    <w:rsid w:val="007C6053"/>
    <w:rsid w:val="007C7541"/>
    <w:rsid w:val="007C75DE"/>
    <w:rsid w:val="007D184E"/>
    <w:rsid w:val="007D2358"/>
    <w:rsid w:val="007D3A15"/>
    <w:rsid w:val="007E36D4"/>
    <w:rsid w:val="007E382F"/>
    <w:rsid w:val="007E384C"/>
    <w:rsid w:val="007F0388"/>
    <w:rsid w:val="007F1B33"/>
    <w:rsid w:val="007F6CA4"/>
    <w:rsid w:val="00804570"/>
    <w:rsid w:val="00805D36"/>
    <w:rsid w:val="00806C58"/>
    <w:rsid w:val="00812A02"/>
    <w:rsid w:val="0082133D"/>
    <w:rsid w:val="00821D26"/>
    <w:rsid w:val="008237DD"/>
    <w:rsid w:val="00825922"/>
    <w:rsid w:val="00834F0F"/>
    <w:rsid w:val="0084005A"/>
    <w:rsid w:val="00841BFB"/>
    <w:rsid w:val="0084583A"/>
    <w:rsid w:val="00850A43"/>
    <w:rsid w:val="008522EB"/>
    <w:rsid w:val="00854030"/>
    <w:rsid w:val="00863776"/>
    <w:rsid w:val="0086405A"/>
    <w:rsid w:val="00864147"/>
    <w:rsid w:val="0086599E"/>
    <w:rsid w:val="008666B6"/>
    <w:rsid w:val="008708F5"/>
    <w:rsid w:val="00875528"/>
    <w:rsid w:val="00875705"/>
    <w:rsid w:val="00877A18"/>
    <w:rsid w:val="00884829"/>
    <w:rsid w:val="008904AD"/>
    <w:rsid w:val="0089105E"/>
    <w:rsid w:val="008A0336"/>
    <w:rsid w:val="008A1EEB"/>
    <w:rsid w:val="008A35EA"/>
    <w:rsid w:val="008A5BBF"/>
    <w:rsid w:val="008B5836"/>
    <w:rsid w:val="008B665C"/>
    <w:rsid w:val="008B722B"/>
    <w:rsid w:val="008C188E"/>
    <w:rsid w:val="008C7136"/>
    <w:rsid w:val="008D068F"/>
    <w:rsid w:val="008D1AE0"/>
    <w:rsid w:val="008D7872"/>
    <w:rsid w:val="008E14F7"/>
    <w:rsid w:val="008E1895"/>
    <w:rsid w:val="008E7A87"/>
    <w:rsid w:val="008F1DD5"/>
    <w:rsid w:val="008F2E6D"/>
    <w:rsid w:val="008F3702"/>
    <w:rsid w:val="008F45D3"/>
    <w:rsid w:val="008F7226"/>
    <w:rsid w:val="008F7661"/>
    <w:rsid w:val="008F799D"/>
    <w:rsid w:val="00900668"/>
    <w:rsid w:val="00902B3D"/>
    <w:rsid w:val="00904DF0"/>
    <w:rsid w:val="00911F6C"/>
    <w:rsid w:val="00915DB9"/>
    <w:rsid w:val="009246C1"/>
    <w:rsid w:val="00924CE4"/>
    <w:rsid w:val="00934F0E"/>
    <w:rsid w:val="00935B9D"/>
    <w:rsid w:val="00941707"/>
    <w:rsid w:val="00942490"/>
    <w:rsid w:val="009458EE"/>
    <w:rsid w:val="00945E90"/>
    <w:rsid w:val="00946559"/>
    <w:rsid w:val="00954990"/>
    <w:rsid w:val="00954FD5"/>
    <w:rsid w:val="0095696E"/>
    <w:rsid w:val="00960A79"/>
    <w:rsid w:val="00960B44"/>
    <w:rsid w:val="0096378B"/>
    <w:rsid w:val="009653CF"/>
    <w:rsid w:val="0097236D"/>
    <w:rsid w:val="00973E83"/>
    <w:rsid w:val="00973E92"/>
    <w:rsid w:val="00973F26"/>
    <w:rsid w:val="009773A5"/>
    <w:rsid w:val="00980F19"/>
    <w:rsid w:val="00981D17"/>
    <w:rsid w:val="009829CD"/>
    <w:rsid w:val="00983E2B"/>
    <w:rsid w:val="009856B8"/>
    <w:rsid w:val="00992A9A"/>
    <w:rsid w:val="009A20CB"/>
    <w:rsid w:val="009A267E"/>
    <w:rsid w:val="009A47C0"/>
    <w:rsid w:val="009B0E1E"/>
    <w:rsid w:val="009B3F8D"/>
    <w:rsid w:val="009B6915"/>
    <w:rsid w:val="009B7DC6"/>
    <w:rsid w:val="009C2241"/>
    <w:rsid w:val="009C34BF"/>
    <w:rsid w:val="009C40EB"/>
    <w:rsid w:val="009D1821"/>
    <w:rsid w:val="009D280E"/>
    <w:rsid w:val="009D37B4"/>
    <w:rsid w:val="009D4859"/>
    <w:rsid w:val="009E046D"/>
    <w:rsid w:val="009E1EF8"/>
    <w:rsid w:val="009E298B"/>
    <w:rsid w:val="009E3887"/>
    <w:rsid w:val="009F0497"/>
    <w:rsid w:val="009F1905"/>
    <w:rsid w:val="009F3C1D"/>
    <w:rsid w:val="009F554A"/>
    <w:rsid w:val="009F692C"/>
    <w:rsid w:val="009F6F3F"/>
    <w:rsid w:val="00A002DF"/>
    <w:rsid w:val="00A01E52"/>
    <w:rsid w:val="00A022CC"/>
    <w:rsid w:val="00A031AF"/>
    <w:rsid w:val="00A03D7D"/>
    <w:rsid w:val="00A04BF8"/>
    <w:rsid w:val="00A06ABA"/>
    <w:rsid w:val="00A07924"/>
    <w:rsid w:val="00A13980"/>
    <w:rsid w:val="00A14128"/>
    <w:rsid w:val="00A21180"/>
    <w:rsid w:val="00A25C10"/>
    <w:rsid w:val="00A310E1"/>
    <w:rsid w:val="00A31EC7"/>
    <w:rsid w:val="00A33918"/>
    <w:rsid w:val="00A359FD"/>
    <w:rsid w:val="00A36201"/>
    <w:rsid w:val="00A4033E"/>
    <w:rsid w:val="00A43ABA"/>
    <w:rsid w:val="00A455D1"/>
    <w:rsid w:val="00A5012C"/>
    <w:rsid w:val="00A56B42"/>
    <w:rsid w:val="00A62E72"/>
    <w:rsid w:val="00A62F0D"/>
    <w:rsid w:val="00A662DC"/>
    <w:rsid w:val="00A673D7"/>
    <w:rsid w:val="00A71ABE"/>
    <w:rsid w:val="00A7299E"/>
    <w:rsid w:val="00A760D0"/>
    <w:rsid w:val="00A90ACD"/>
    <w:rsid w:val="00A92D82"/>
    <w:rsid w:val="00A948BC"/>
    <w:rsid w:val="00A94B12"/>
    <w:rsid w:val="00A96D5E"/>
    <w:rsid w:val="00A972B3"/>
    <w:rsid w:val="00AA72BF"/>
    <w:rsid w:val="00AC07F2"/>
    <w:rsid w:val="00AC1397"/>
    <w:rsid w:val="00AC2A90"/>
    <w:rsid w:val="00AC4BE0"/>
    <w:rsid w:val="00AC4D21"/>
    <w:rsid w:val="00AC5B27"/>
    <w:rsid w:val="00AD04BB"/>
    <w:rsid w:val="00AD5884"/>
    <w:rsid w:val="00AD7C63"/>
    <w:rsid w:val="00AE0787"/>
    <w:rsid w:val="00AE1FF9"/>
    <w:rsid w:val="00AE6FD9"/>
    <w:rsid w:val="00AE74BE"/>
    <w:rsid w:val="00AE79A9"/>
    <w:rsid w:val="00AF2733"/>
    <w:rsid w:val="00AF6119"/>
    <w:rsid w:val="00B0207E"/>
    <w:rsid w:val="00B03158"/>
    <w:rsid w:val="00B0359E"/>
    <w:rsid w:val="00B06776"/>
    <w:rsid w:val="00B06963"/>
    <w:rsid w:val="00B12BF3"/>
    <w:rsid w:val="00B13AA5"/>
    <w:rsid w:val="00B14A1C"/>
    <w:rsid w:val="00B2191F"/>
    <w:rsid w:val="00B22907"/>
    <w:rsid w:val="00B22EA4"/>
    <w:rsid w:val="00B23117"/>
    <w:rsid w:val="00B236FD"/>
    <w:rsid w:val="00B26B7E"/>
    <w:rsid w:val="00B2747B"/>
    <w:rsid w:val="00B32353"/>
    <w:rsid w:val="00B3555C"/>
    <w:rsid w:val="00B35AF2"/>
    <w:rsid w:val="00B37A3A"/>
    <w:rsid w:val="00B40D6D"/>
    <w:rsid w:val="00B464C2"/>
    <w:rsid w:val="00B47449"/>
    <w:rsid w:val="00B563DA"/>
    <w:rsid w:val="00B57445"/>
    <w:rsid w:val="00B57B8B"/>
    <w:rsid w:val="00B65898"/>
    <w:rsid w:val="00B81D64"/>
    <w:rsid w:val="00B83DF4"/>
    <w:rsid w:val="00B861D8"/>
    <w:rsid w:val="00B936CF"/>
    <w:rsid w:val="00BA2636"/>
    <w:rsid w:val="00BA2F77"/>
    <w:rsid w:val="00BA34CC"/>
    <w:rsid w:val="00BA3BF7"/>
    <w:rsid w:val="00BA3E4B"/>
    <w:rsid w:val="00BA7AFE"/>
    <w:rsid w:val="00BB186F"/>
    <w:rsid w:val="00BB1B16"/>
    <w:rsid w:val="00BB4A77"/>
    <w:rsid w:val="00BB5D6A"/>
    <w:rsid w:val="00BB7206"/>
    <w:rsid w:val="00BC0BBC"/>
    <w:rsid w:val="00BC52AC"/>
    <w:rsid w:val="00BD0078"/>
    <w:rsid w:val="00BD0119"/>
    <w:rsid w:val="00BD1BA2"/>
    <w:rsid w:val="00BD622F"/>
    <w:rsid w:val="00BE1C4F"/>
    <w:rsid w:val="00BE23F6"/>
    <w:rsid w:val="00BE3D82"/>
    <w:rsid w:val="00BE4038"/>
    <w:rsid w:val="00BE511B"/>
    <w:rsid w:val="00BF0ECE"/>
    <w:rsid w:val="00BF0EF3"/>
    <w:rsid w:val="00BF19A8"/>
    <w:rsid w:val="00BF1E35"/>
    <w:rsid w:val="00BF6A20"/>
    <w:rsid w:val="00C03969"/>
    <w:rsid w:val="00C13809"/>
    <w:rsid w:val="00C1449E"/>
    <w:rsid w:val="00C15B97"/>
    <w:rsid w:val="00C15DAD"/>
    <w:rsid w:val="00C22B77"/>
    <w:rsid w:val="00C250FF"/>
    <w:rsid w:val="00C25320"/>
    <w:rsid w:val="00C313E4"/>
    <w:rsid w:val="00C321C3"/>
    <w:rsid w:val="00C416EA"/>
    <w:rsid w:val="00C44E79"/>
    <w:rsid w:val="00C45318"/>
    <w:rsid w:val="00C47A75"/>
    <w:rsid w:val="00C50707"/>
    <w:rsid w:val="00C53394"/>
    <w:rsid w:val="00C561FC"/>
    <w:rsid w:val="00C56A2A"/>
    <w:rsid w:val="00C56ECE"/>
    <w:rsid w:val="00C60EB3"/>
    <w:rsid w:val="00C61948"/>
    <w:rsid w:val="00C62093"/>
    <w:rsid w:val="00C62731"/>
    <w:rsid w:val="00C6410A"/>
    <w:rsid w:val="00C64CEA"/>
    <w:rsid w:val="00C6537A"/>
    <w:rsid w:val="00C72854"/>
    <w:rsid w:val="00C73EF7"/>
    <w:rsid w:val="00C77872"/>
    <w:rsid w:val="00C81562"/>
    <w:rsid w:val="00C82476"/>
    <w:rsid w:val="00C854CE"/>
    <w:rsid w:val="00C92DB8"/>
    <w:rsid w:val="00C935B6"/>
    <w:rsid w:val="00C94A04"/>
    <w:rsid w:val="00C9779C"/>
    <w:rsid w:val="00CA121A"/>
    <w:rsid w:val="00CA3317"/>
    <w:rsid w:val="00CA7032"/>
    <w:rsid w:val="00CA70AC"/>
    <w:rsid w:val="00CA7161"/>
    <w:rsid w:val="00CB0862"/>
    <w:rsid w:val="00CB732C"/>
    <w:rsid w:val="00CC6485"/>
    <w:rsid w:val="00CD287A"/>
    <w:rsid w:val="00CD4E42"/>
    <w:rsid w:val="00CD5974"/>
    <w:rsid w:val="00CD6A9C"/>
    <w:rsid w:val="00CE14BC"/>
    <w:rsid w:val="00CE28BC"/>
    <w:rsid w:val="00CE3AF5"/>
    <w:rsid w:val="00CE5392"/>
    <w:rsid w:val="00CE5633"/>
    <w:rsid w:val="00CE672E"/>
    <w:rsid w:val="00CE7E47"/>
    <w:rsid w:val="00CF596D"/>
    <w:rsid w:val="00D013E2"/>
    <w:rsid w:val="00D014BC"/>
    <w:rsid w:val="00D01524"/>
    <w:rsid w:val="00D03D47"/>
    <w:rsid w:val="00D04BBA"/>
    <w:rsid w:val="00D0583E"/>
    <w:rsid w:val="00D06DAC"/>
    <w:rsid w:val="00D1274C"/>
    <w:rsid w:val="00D1282E"/>
    <w:rsid w:val="00D130AD"/>
    <w:rsid w:val="00D14770"/>
    <w:rsid w:val="00D220A4"/>
    <w:rsid w:val="00D26149"/>
    <w:rsid w:val="00D27132"/>
    <w:rsid w:val="00D32AEE"/>
    <w:rsid w:val="00D338C3"/>
    <w:rsid w:val="00D405C2"/>
    <w:rsid w:val="00D40CED"/>
    <w:rsid w:val="00D419F9"/>
    <w:rsid w:val="00D41CA6"/>
    <w:rsid w:val="00D44C4F"/>
    <w:rsid w:val="00D44FD0"/>
    <w:rsid w:val="00D46415"/>
    <w:rsid w:val="00D4685B"/>
    <w:rsid w:val="00D46CB0"/>
    <w:rsid w:val="00D47BDD"/>
    <w:rsid w:val="00D47D12"/>
    <w:rsid w:val="00D51412"/>
    <w:rsid w:val="00D52446"/>
    <w:rsid w:val="00D57A71"/>
    <w:rsid w:val="00D605DE"/>
    <w:rsid w:val="00D61B3E"/>
    <w:rsid w:val="00D700F9"/>
    <w:rsid w:val="00D76BD9"/>
    <w:rsid w:val="00D776AB"/>
    <w:rsid w:val="00D82A59"/>
    <w:rsid w:val="00D86440"/>
    <w:rsid w:val="00D9206E"/>
    <w:rsid w:val="00D95138"/>
    <w:rsid w:val="00DA3B4B"/>
    <w:rsid w:val="00DA6BD7"/>
    <w:rsid w:val="00DA7808"/>
    <w:rsid w:val="00DB29B0"/>
    <w:rsid w:val="00DB4348"/>
    <w:rsid w:val="00DB5A04"/>
    <w:rsid w:val="00DB7631"/>
    <w:rsid w:val="00DB7AB5"/>
    <w:rsid w:val="00DC3921"/>
    <w:rsid w:val="00DC4C4A"/>
    <w:rsid w:val="00DC5C96"/>
    <w:rsid w:val="00DD2F3B"/>
    <w:rsid w:val="00DD3B00"/>
    <w:rsid w:val="00DE0B2B"/>
    <w:rsid w:val="00DE2F9C"/>
    <w:rsid w:val="00DE7223"/>
    <w:rsid w:val="00DF20A8"/>
    <w:rsid w:val="00DF248A"/>
    <w:rsid w:val="00DF2F12"/>
    <w:rsid w:val="00DF69EB"/>
    <w:rsid w:val="00DF7AB6"/>
    <w:rsid w:val="00E107F8"/>
    <w:rsid w:val="00E1255F"/>
    <w:rsid w:val="00E14101"/>
    <w:rsid w:val="00E1684C"/>
    <w:rsid w:val="00E16972"/>
    <w:rsid w:val="00E21C56"/>
    <w:rsid w:val="00E2544D"/>
    <w:rsid w:val="00E27B57"/>
    <w:rsid w:val="00E30F4C"/>
    <w:rsid w:val="00E310FB"/>
    <w:rsid w:val="00E377FE"/>
    <w:rsid w:val="00E403C3"/>
    <w:rsid w:val="00E40D97"/>
    <w:rsid w:val="00E414DA"/>
    <w:rsid w:val="00E4263F"/>
    <w:rsid w:val="00E503BA"/>
    <w:rsid w:val="00E51219"/>
    <w:rsid w:val="00E54F3D"/>
    <w:rsid w:val="00E56A83"/>
    <w:rsid w:val="00E57908"/>
    <w:rsid w:val="00E60986"/>
    <w:rsid w:val="00E60E26"/>
    <w:rsid w:val="00E62A98"/>
    <w:rsid w:val="00E63EFE"/>
    <w:rsid w:val="00E654C7"/>
    <w:rsid w:val="00E714D9"/>
    <w:rsid w:val="00E735A9"/>
    <w:rsid w:val="00E738E1"/>
    <w:rsid w:val="00E73984"/>
    <w:rsid w:val="00E7442C"/>
    <w:rsid w:val="00E74D1F"/>
    <w:rsid w:val="00E75AC8"/>
    <w:rsid w:val="00E77E4A"/>
    <w:rsid w:val="00E85334"/>
    <w:rsid w:val="00E87350"/>
    <w:rsid w:val="00E926EA"/>
    <w:rsid w:val="00E938E5"/>
    <w:rsid w:val="00E94044"/>
    <w:rsid w:val="00E94E0D"/>
    <w:rsid w:val="00E96247"/>
    <w:rsid w:val="00E96543"/>
    <w:rsid w:val="00E971B1"/>
    <w:rsid w:val="00EA1A58"/>
    <w:rsid w:val="00EA7A3A"/>
    <w:rsid w:val="00EB0B5D"/>
    <w:rsid w:val="00EB2BDC"/>
    <w:rsid w:val="00EB3F2C"/>
    <w:rsid w:val="00EC2656"/>
    <w:rsid w:val="00EC6245"/>
    <w:rsid w:val="00EC7912"/>
    <w:rsid w:val="00EC7CC3"/>
    <w:rsid w:val="00ED13B1"/>
    <w:rsid w:val="00ED25DC"/>
    <w:rsid w:val="00ED3A29"/>
    <w:rsid w:val="00ED64C7"/>
    <w:rsid w:val="00ED783C"/>
    <w:rsid w:val="00EE0164"/>
    <w:rsid w:val="00EE3388"/>
    <w:rsid w:val="00EE3AFA"/>
    <w:rsid w:val="00EF274B"/>
    <w:rsid w:val="00EF2C55"/>
    <w:rsid w:val="00EF623C"/>
    <w:rsid w:val="00EF6E5A"/>
    <w:rsid w:val="00F04EC8"/>
    <w:rsid w:val="00F051BE"/>
    <w:rsid w:val="00F06C38"/>
    <w:rsid w:val="00F12B41"/>
    <w:rsid w:val="00F15F98"/>
    <w:rsid w:val="00F1744C"/>
    <w:rsid w:val="00F2255F"/>
    <w:rsid w:val="00F24EE7"/>
    <w:rsid w:val="00F30019"/>
    <w:rsid w:val="00F30D57"/>
    <w:rsid w:val="00F31004"/>
    <w:rsid w:val="00F31028"/>
    <w:rsid w:val="00F31E3E"/>
    <w:rsid w:val="00F32AF9"/>
    <w:rsid w:val="00F33174"/>
    <w:rsid w:val="00F34D17"/>
    <w:rsid w:val="00F35A09"/>
    <w:rsid w:val="00F3640C"/>
    <w:rsid w:val="00F3695A"/>
    <w:rsid w:val="00F3795C"/>
    <w:rsid w:val="00F43C3E"/>
    <w:rsid w:val="00F4462A"/>
    <w:rsid w:val="00F44984"/>
    <w:rsid w:val="00F5420F"/>
    <w:rsid w:val="00F60A3F"/>
    <w:rsid w:val="00F63793"/>
    <w:rsid w:val="00F6771A"/>
    <w:rsid w:val="00F7530D"/>
    <w:rsid w:val="00F85304"/>
    <w:rsid w:val="00F85E21"/>
    <w:rsid w:val="00F92055"/>
    <w:rsid w:val="00F9300A"/>
    <w:rsid w:val="00F95EEE"/>
    <w:rsid w:val="00F966AE"/>
    <w:rsid w:val="00F97F21"/>
    <w:rsid w:val="00FA05CC"/>
    <w:rsid w:val="00FA1243"/>
    <w:rsid w:val="00FA3732"/>
    <w:rsid w:val="00FA511B"/>
    <w:rsid w:val="00FB1BCE"/>
    <w:rsid w:val="00FB2AD6"/>
    <w:rsid w:val="00FB4709"/>
    <w:rsid w:val="00FB5C38"/>
    <w:rsid w:val="00FB6005"/>
    <w:rsid w:val="00FC4CD4"/>
    <w:rsid w:val="00FC6453"/>
    <w:rsid w:val="00FD2EE7"/>
    <w:rsid w:val="00FD523E"/>
    <w:rsid w:val="00FD560A"/>
    <w:rsid w:val="00FE02BE"/>
    <w:rsid w:val="00FE1329"/>
    <w:rsid w:val="00FE1DCE"/>
    <w:rsid w:val="00FE2746"/>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styleId="Revision">
    <w:name w:val="Revision"/>
    <w:hidden/>
    <w:uiPriority w:val="99"/>
    <w:semiHidden/>
    <w:rsid w:val="009246C1"/>
    <w:pPr>
      <w:spacing w:after="0" w:line="240" w:lineRule="auto"/>
    </w:pPr>
  </w:style>
  <w:style w:type="paragraph" w:styleId="NormalWeb">
    <w:name w:val="Normal (Web)"/>
    <w:basedOn w:val="Normal"/>
    <w:uiPriority w:val="99"/>
    <w:qFormat/>
    <w:rsid w:val="000C1C12"/>
    <w:pPr>
      <w:spacing w:before="100" w:beforeAutospacing="1" w:after="100" w:afterAutospacing="1" w:line="240" w:lineRule="auto"/>
    </w:pPr>
    <w:rPr>
      <w:rFonts w:ascii="Arial" w:eastAsia="SimSun" w:hAnsi="Arial" w:cs="Arial"/>
      <w:color w:val="493118"/>
      <w:sz w:val="18"/>
      <w:szCs w:val="18"/>
      <w:lang w:eastAsia="zh-CN"/>
    </w:rPr>
  </w:style>
  <w:style w:type="character" w:customStyle="1" w:styleId="ui-provider">
    <w:name w:val="ui-provider"/>
    <w:basedOn w:val="DefaultParagraphFont"/>
    <w:rsid w:val="00F95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10203713">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721203566">
      <w:bodyDiv w:val="1"/>
      <w:marLeft w:val="0"/>
      <w:marRight w:val="0"/>
      <w:marTop w:val="0"/>
      <w:marBottom w:val="0"/>
      <w:divBdr>
        <w:top w:val="none" w:sz="0" w:space="0" w:color="auto"/>
        <w:left w:val="none" w:sz="0" w:space="0" w:color="auto"/>
        <w:bottom w:val="none" w:sz="0" w:space="0" w:color="auto"/>
        <w:right w:val="none" w:sz="0" w:space="0" w:color="auto"/>
      </w:divBdr>
    </w:div>
    <w:div w:id="1812794270">
      <w:bodyDiv w:val="1"/>
      <w:marLeft w:val="0"/>
      <w:marRight w:val="0"/>
      <w:marTop w:val="0"/>
      <w:marBottom w:val="0"/>
      <w:divBdr>
        <w:top w:val="none" w:sz="0" w:space="0" w:color="auto"/>
        <w:left w:val="none" w:sz="0" w:space="0" w:color="auto"/>
        <w:bottom w:val="none" w:sz="0" w:space="0" w:color="auto"/>
        <w:right w:val="none" w:sz="0" w:space="0" w:color="auto"/>
      </w:divBdr>
    </w:div>
    <w:div w:id="1968927315">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0552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2179</Words>
  <Characters>13729</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5</cp:revision>
  <dcterms:created xsi:type="dcterms:W3CDTF">2023-05-12T06:47:00Z</dcterms:created>
  <dcterms:modified xsi:type="dcterms:W3CDTF">2023-05-12T06:53:00Z</dcterms:modified>
</cp:coreProperties>
</file>